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3BAEF9" w14:textId="1703EFB9" w:rsidR="00B25F26" w:rsidRPr="004C3DF7" w:rsidRDefault="007B30E3">
      <w:pPr>
        <w:rPr>
          <w:b/>
          <w:bCs/>
          <w:lang w:val="en-US"/>
        </w:rPr>
      </w:pPr>
      <w:r>
        <w:rPr>
          <w:b/>
          <w:bCs/>
          <w:lang w:val="en-US"/>
        </w:rPr>
        <w:t>Application</w:t>
      </w:r>
      <w:r w:rsidR="00B25F26">
        <w:rPr>
          <w:b/>
          <w:bCs/>
          <w:lang w:val="en-US"/>
        </w:rPr>
        <w:t xml:space="preserve"> </w:t>
      </w:r>
      <w:r w:rsidR="00B25F26" w:rsidRPr="00B25F26">
        <w:rPr>
          <w:bCs/>
          <w:lang w:val="en-US"/>
        </w:rPr>
        <w:t>Increasing the plane of nutrition offered to bull calves during either the pre-weaning or early post-weaning phases of development resulted in higher weight gain respectively, with post-weaning differentials retained to slaughter at 16 months of age, affecting carcass weight, a key economic trait.</w:t>
      </w:r>
      <w:r w:rsidR="00B25F26" w:rsidRPr="00B25F26">
        <w:rPr>
          <w:b/>
          <w:bCs/>
          <w:lang w:val="en-US"/>
        </w:rPr>
        <w:t xml:space="preserve">  </w:t>
      </w:r>
    </w:p>
    <w:p w14:paraId="167B5498" w14:textId="42DB1495" w:rsidR="007B30E3" w:rsidRPr="004C3DF7" w:rsidRDefault="007B30E3">
      <w:pPr>
        <w:rPr>
          <w:b/>
          <w:bCs/>
          <w:lang w:val="en-IE"/>
        </w:rPr>
      </w:pPr>
      <w:r>
        <w:rPr>
          <w:b/>
          <w:bCs/>
          <w:lang w:val="en-US"/>
        </w:rPr>
        <w:t>Introduction</w:t>
      </w:r>
      <w:r w:rsidR="00B25F26">
        <w:rPr>
          <w:b/>
          <w:bCs/>
          <w:lang w:val="en-US"/>
        </w:rPr>
        <w:t xml:space="preserve"> </w:t>
      </w:r>
      <w:r w:rsidR="00B25F26" w:rsidRPr="00B25F26">
        <w:rPr>
          <w:bCs/>
          <w:lang w:val="en-IE"/>
        </w:rPr>
        <w:t xml:space="preserve">Only 38% </w:t>
      </w:r>
      <w:r w:rsidR="00B25F26" w:rsidRPr="00B25F26">
        <w:rPr>
          <w:bCs/>
        </w:rPr>
        <w:t xml:space="preserve">of </w:t>
      </w:r>
      <w:r w:rsidR="00B25F26" w:rsidRPr="00B25F26">
        <w:rPr>
          <w:bCs/>
          <w:lang w:val="en-IE"/>
        </w:rPr>
        <w:t>Irish dairy-bred bull beef carcasses meet the desired slaughter specifications, resulting in both economic and environmental inefficiencies (Kenny et al., 2020). Early-life nutrition can play a central role in determining lifetime growth potential and carcass composition. Strategic nutritional intervention during key developmental windows can positively influence carcass gain, adiposity, and meat quality. However, limited data exist on the immediate and long-term effects of such interventions on animal performance, carcass traits, and the production and environmental efficiency of pasture-based dairy bull-beef production systems. This study aimed to assess the impact of both pre- and post-weaning nutrition and their interaction, on performance and carcass composition in dairy-bred male calves slaughtered at 16 months of age.</w:t>
      </w:r>
      <w:r w:rsidR="00B25F26" w:rsidRPr="00B25F26">
        <w:rPr>
          <w:b/>
          <w:bCs/>
          <w:lang w:val="en-IE"/>
        </w:rPr>
        <w:t xml:space="preserve"> </w:t>
      </w:r>
    </w:p>
    <w:p w14:paraId="289F5759" w14:textId="7EFC565A" w:rsidR="00B25F26" w:rsidRPr="00B25F26" w:rsidRDefault="007B30E3" w:rsidP="00B25F26">
      <w:pPr>
        <w:rPr>
          <w:bCs/>
        </w:rPr>
      </w:pPr>
      <w:r>
        <w:rPr>
          <w:b/>
          <w:bCs/>
          <w:lang w:val="en-US"/>
        </w:rPr>
        <w:t>Materials and Methods</w:t>
      </w:r>
      <w:r w:rsidR="00B25F26">
        <w:rPr>
          <w:b/>
          <w:bCs/>
          <w:lang w:val="en-US"/>
        </w:rPr>
        <w:t xml:space="preserve"> </w:t>
      </w:r>
      <w:r w:rsidR="00B25F26" w:rsidRPr="00B25F26">
        <w:rPr>
          <w:bCs/>
        </w:rPr>
        <w:t>Spring-born dairy-bred Angus and Holstein Friesian bull calves (n=56), were blocked by breed, birth date and birth weight, and assigned within block to either a moderate (M PRE) or high (H PRE) pre-weaning plane of nutrition and allocated across four pens. Calves (7 days of age)</w:t>
      </w:r>
      <w:r w:rsidR="002F44B7">
        <w:rPr>
          <w:bCs/>
        </w:rPr>
        <w:t xml:space="preserve"> assigned to M PRE were offered a typical rearing diet of</w:t>
      </w:r>
      <w:r w:rsidR="00B25F26" w:rsidRPr="00B25F26">
        <w:rPr>
          <w:bCs/>
        </w:rPr>
        <w:t xml:space="preserve"> 6L/day containing 750g milk replacer (MR; 26% protein and 16% fat) for 50 days followed by a 2-week weaning period. H PRE were offered 8L/day containing 1200g MR for 14 days, 10L/day containing 1500g MR for 24 days followed by a 3-week step-down weaning period. Both pre-weaning treatments had </w:t>
      </w:r>
      <w:r w:rsidR="00B25F26" w:rsidRPr="00B25F26">
        <w:rPr>
          <w:bCs/>
          <w:i/>
        </w:rPr>
        <w:t>ad libitum</w:t>
      </w:r>
      <w:r w:rsidR="00B25F26" w:rsidRPr="00B25F26">
        <w:rPr>
          <w:bCs/>
        </w:rPr>
        <w:t xml:space="preserve"> access to concentrate feed. Post-weaning, from within their respective pre-weaning treatments, calves were allocated to either a moderate (M POST), </w:t>
      </w:r>
      <w:r w:rsidR="00B25F26" w:rsidRPr="00B25F26">
        <w:rPr>
          <w:bCs/>
          <w:lang w:val="en-IE"/>
        </w:rPr>
        <w:t>1.5kg/day concentrate,</w:t>
      </w:r>
      <w:r w:rsidR="00B25F26" w:rsidRPr="00B25F26">
        <w:rPr>
          <w:bCs/>
        </w:rPr>
        <w:t xml:space="preserve"> or high (H POST), </w:t>
      </w:r>
      <w:r w:rsidR="00B25F26" w:rsidRPr="00B25F26">
        <w:rPr>
          <w:bCs/>
          <w:i/>
        </w:rPr>
        <w:t xml:space="preserve">ad libitum </w:t>
      </w:r>
      <w:r w:rsidR="00B25F26" w:rsidRPr="00B25F26">
        <w:rPr>
          <w:bCs/>
        </w:rPr>
        <w:t>concentrate, post-weaning diet for four weeks. All calves were individually offered their respective dietary allocation of MR and pelleted concentrate (18% CP) via an electronic calf feeding system (Foster-Technik Vario; Engen, Germany). Subsequently, all animals were turned out to pasture and managed under a standard 16-month-old pasture based dairy bull beef system blueprint with bodyweight and other anatomical measurements collected throughout and carcass characteristics data collected at slaughter.</w:t>
      </w:r>
    </w:p>
    <w:p w14:paraId="31DE43A2" w14:textId="58E0D815" w:rsidR="007B30E3" w:rsidRPr="004C3DF7" w:rsidRDefault="00B25F26">
      <w:pPr>
        <w:rPr>
          <w:bCs/>
        </w:rPr>
      </w:pPr>
      <w:r w:rsidRPr="00B25F26">
        <w:rPr>
          <w:bCs/>
        </w:rPr>
        <w:t xml:space="preserve">All data were analysed in SAS (v9.4) using ANOVA (MIXED procedure the model included fixed effects PRE and POST plane of nutrition, their interaction along with random effects of block and pen. </w:t>
      </w:r>
    </w:p>
    <w:p w14:paraId="67F277B7" w14:textId="4314C1DA" w:rsidR="00B25F26" w:rsidRPr="00B25F26" w:rsidRDefault="007B30E3" w:rsidP="00B25F26">
      <w:pPr>
        <w:rPr>
          <w:bCs/>
          <w:lang w:val="en-IE"/>
        </w:rPr>
      </w:pPr>
      <w:r>
        <w:rPr>
          <w:b/>
          <w:bCs/>
          <w:lang w:val="en-US"/>
        </w:rPr>
        <w:t>Results</w:t>
      </w:r>
      <w:r w:rsidR="00B25F26">
        <w:rPr>
          <w:b/>
          <w:bCs/>
          <w:lang w:val="en-US"/>
        </w:rPr>
        <w:t xml:space="preserve"> </w:t>
      </w:r>
      <w:r w:rsidR="00B25F26" w:rsidRPr="00B25F26">
        <w:rPr>
          <w:bCs/>
        </w:rPr>
        <w:t>No interactions were observed between pre- and post-weaning diets for animal performance and carcass variables. An interaction between week and both pre and post-weaning dietary treatment was observed for both dry matter (DMI) and energy intake as per design. H PRE calves had greater ADG than M PRE pre-weaning resulting in higher bodyweight at weaning (+8.4kg, P = 0.0002), turnout (5.7kg, P = 0.024), housing (+11.3kg, P = 0.05), however, no effect (P &gt;0.05) of pre-weaning diet was observed on bodyweight or carcass characteristics at s</w:t>
      </w:r>
      <w:r w:rsidR="006021CB">
        <w:rPr>
          <w:bCs/>
        </w:rPr>
        <w:t>laughter (Table 1). As expected</w:t>
      </w:r>
      <w:r w:rsidR="00B25F26" w:rsidRPr="00B25F26">
        <w:rPr>
          <w:bCs/>
        </w:rPr>
        <w:t xml:space="preserve"> H POST had higher ADG post-weaning than M POST resulting in a bodyweight advantage at turnout (+19.3kg, P &lt;0.0001), housing (+20.0kg, P = 0.001) and slaughter (+29.0kg, P = 0.001) with a 16kg difference in carcass cold weight (P = 0.001; Table 1).</w:t>
      </w:r>
      <w:r w:rsidR="00B25F26" w:rsidRPr="00B25F26">
        <w:rPr>
          <w:bCs/>
          <w:lang w:val="en-IE"/>
        </w:rPr>
        <w:t xml:space="preserve"> </w:t>
      </w:r>
      <w:r w:rsidR="00B25F26" w:rsidRPr="00B25F26">
        <w:rPr>
          <w:bCs/>
        </w:rPr>
        <w:t>Weight gain during the grazing and finishing periods were similar across both dietary groups thus preserving the weight differentials established as a consequence of the early life nutritional treatments.</w:t>
      </w:r>
    </w:p>
    <w:p w14:paraId="5BE78BEC" w14:textId="77777777" w:rsidR="00B25F26" w:rsidRPr="00B25F26" w:rsidRDefault="00B25F26" w:rsidP="00B25F26">
      <w:pPr>
        <w:rPr>
          <w:bCs/>
        </w:rPr>
      </w:pPr>
      <w:r w:rsidRPr="00B25F26">
        <w:rPr>
          <w:b/>
          <w:bCs/>
        </w:rPr>
        <w:t>Table 1</w:t>
      </w:r>
      <w:r w:rsidRPr="00B25F26">
        <w:rPr>
          <w:bCs/>
        </w:rPr>
        <w:t xml:space="preserve"> Effect of pre- and post-weaning plane of nutrition (M or H) on performance of dairy-bred bull calves slaughtered at 16 months of age</w:t>
      </w:r>
    </w:p>
    <w:tbl>
      <w:tblPr>
        <w:tblW w:w="10065" w:type="dxa"/>
        <w:jc w:val="center"/>
        <w:tblLayout w:type="fixed"/>
        <w:tblLook w:val="04A0" w:firstRow="1" w:lastRow="0" w:firstColumn="1" w:lastColumn="0" w:noHBand="0" w:noVBand="1"/>
      </w:tblPr>
      <w:tblGrid>
        <w:gridCol w:w="2694"/>
        <w:gridCol w:w="850"/>
        <w:gridCol w:w="851"/>
        <w:gridCol w:w="283"/>
        <w:gridCol w:w="992"/>
        <w:gridCol w:w="897"/>
        <w:gridCol w:w="761"/>
        <w:gridCol w:w="304"/>
        <w:gridCol w:w="1221"/>
        <w:gridCol w:w="1212"/>
      </w:tblGrid>
      <w:tr w:rsidR="00B25F26" w:rsidRPr="00B25F26" w14:paraId="6F2321E2" w14:textId="77777777" w:rsidTr="00EB32A1">
        <w:trPr>
          <w:trHeight w:val="160"/>
          <w:jc w:val="center"/>
        </w:trPr>
        <w:tc>
          <w:tcPr>
            <w:tcW w:w="2694" w:type="dxa"/>
            <w:vMerge w:val="restart"/>
            <w:tcBorders>
              <w:top w:val="double" w:sz="4" w:space="0" w:color="auto"/>
              <w:left w:val="nil"/>
              <w:bottom w:val="single" w:sz="4" w:space="0" w:color="auto"/>
              <w:right w:val="nil"/>
            </w:tcBorders>
            <w:vAlign w:val="center"/>
          </w:tcPr>
          <w:p w14:paraId="5CEFB633" w14:textId="77777777" w:rsidR="00B25F26" w:rsidRPr="00B25F26" w:rsidRDefault="00B25F26" w:rsidP="00B25F26">
            <w:pPr>
              <w:rPr>
                <w:b/>
                <w:bCs/>
                <w:lang w:val="en-IE"/>
              </w:rPr>
            </w:pPr>
            <w:r w:rsidRPr="00B25F26">
              <w:rPr>
                <w:b/>
                <w:bCs/>
                <w:lang w:val="en-IE"/>
              </w:rPr>
              <w:t>Plane of nutrition</w:t>
            </w:r>
          </w:p>
          <w:p w14:paraId="732D97B8" w14:textId="77777777" w:rsidR="00B25F26" w:rsidRPr="00B25F26" w:rsidRDefault="00B25F26" w:rsidP="00B25F26">
            <w:pPr>
              <w:rPr>
                <w:b/>
                <w:bCs/>
                <w:lang w:val="en-IE"/>
              </w:rPr>
            </w:pPr>
          </w:p>
        </w:tc>
        <w:tc>
          <w:tcPr>
            <w:tcW w:w="1701" w:type="dxa"/>
            <w:gridSpan w:val="2"/>
            <w:tcBorders>
              <w:top w:val="double" w:sz="4" w:space="0" w:color="auto"/>
              <w:left w:val="nil"/>
              <w:bottom w:val="single" w:sz="4" w:space="0" w:color="auto"/>
              <w:right w:val="nil"/>
            </w:tcBorders>
            <w:vAlign w:val="center"/>
            <w:hideMark/>
          </w:tcPr>
          <w:p w14:paraId="37225BD7" w14:textId="77777777" w:rsidR="00B25F26" w:rsidRPr="00B25F26" w:rsidRDefault="00B25F26" w:rsidP="00B25F26">
            <w:pPr>
              <w:rPr>
                <w:b/>
                <w:bCs/>
                <w:lang w:val="en-IE"/>
              </w:rPr>
            </w:pPr>
            <w:r w:rsidRPr="00B25F26">
              <w:rPr>
                <w:b/>
                <w:bCs/>
                <w:lang w:val="en-IE"/>
              </w:rPr>
              <w:lastRenderedPageBreak/>
              <w:t>Pre-weaning</w:t>
            </w:r>
          </w:p>
        </w:tc>
        <w:tc>
          <w:tcPr>
            <w:tcW w:w="283" w:type="dxa"/>
            <w:tcBorders>
              <w:top w:val="double" w:sz="4" w:space="0" w:color="auto"/>
              <w:left w:val="nil"/>
              <w:bottom w:val="nil"/>
              <w:right w:val="nil"/>
            </w:tcBorders>
            <w:vAlign w:val="center"/>
          </w:tcPr>
          <w:p w14:paraId="3C2A1375" w14:textId="77777777" w:rsidR="00B25F26" w:rsidRPr="00B25F26" w:rsidRDefault="00B25F26" w:rsidP="00B25F26">
            <w:pPr>
              <w:rPr>
                <w:b/>
                <w:bCs/>
                <w:lang w:val="en-IE"/>
              </w:rPr>
            </w:pPr>
          </w:p>
        </w:tc>
        <w:tc>
          <w:tcPr>
            <w:tcW w:w="1889" w:type="dxa"/>
            <w:gridSpan w:val="2"/>
            <w:tcBorders>
              <w:top w:val="double" w:sz="4" w:space="0" w:color="auto"/>
              <w:left w:val="nil"/>
              <w:bottom w:val="single" w:sz="4" w:space="0" w:color="auto"/>
              <w:right w:val="nil"/>
            </w:tcBorders>
            <w:vAlign w:val="center"/>
            <w:hideMark/>
          </w:tcPr>
          <w:p w14:paraId="35394CDE" w14:textId="77777777" w:rsidR="00B25F26" w:rsidRPr="00B25F26" w:rsidRDefault="00B25F26" w:rsidP="00B25F26">
            <w:pPr>
              <w:rPr>
                <w:b/>
                <w:bCs/>
                <w:lang w:val="en-IE"/>
              </w:rPr>
            </w:pPr>
            <w:r w:rsidRPr="00B25F26">
              <w:rPr>
                <w:b/>
                <w:bCs/>
                <w:lang w:val="en-IE"/>
              </w:rPr>
              <w:t>Post-weaning</w:t>
            </w:r>
          </w:p>
        </w:tc>
        <w:tc>
          <w:tcPr>
            <w:tcW w:w="761" w:type="dxa"/>
            <w:tcBorders>
              <w:top w:val="double" w:sz="4" w:space="0" w:color="auto"/>
              <w:left w:val="nil"/>
              <w:bottom w:val="nil"/>
              <w:right w:val="nil"/>
            </w:tcBorders>
            <w:vAlign w:val="center"/>
          </w:tcPr>
          <w:p w14:paraId="7246A08F" w14:textId="77777777" w:rsidR="00B25F26" w:rsidRPr="00B25F26" w:rsidRDefault="00B25F26" w:rsidP="00B25F26">
            <w:pPr>
              <w:rPr>
                <w:b/>
                <w:bCs/>
                <w:lang w:val="en-IE"/>
              </w:rPr>
            </w:pPr>
          </w:p>
        </w:tc>
        <w:tc>
          <w:tcPr>
            <w:tcW w:w="304" w:type="dxa"/>
            <w:tcBorders>
              <w:top w:val="double" w:sz="4" w:space="0" w:color="auto"/>
              <w:left w:val="nil"/>
              <w:bottom w:val="nil"/>
              <w:right w:val="nil"/>
            </w:tcBorders>
            <w:vAlign w:val="center"/>
          </w:tcPr>
          <w:p w14:paraId="1A8A8BD5" w14:textId="77777777" w:rsidR="00B25F26" w:rsidRPr="00B25F26" w:rsidRDefault="00B25F26" w:rsidP="00B25F26">
            <w:pPr>
              <w:rPr>
                <w:b/>
                <w:bCs/>
                <w:lang w:val="en-IE"/>
              </w:rPr>
            </w:pPr>
          </w:p>
        </w:tc>
        <w:tc>
          <w:tcPr>
            <w:tcW w:w="2433" w:type="dxa"/>
            <w:gridSpan w:val="2"/>
            <w:tcBorders>
              <w:top w:val="double" w:sz="4" w:space="0" w:color="auto"/>
              <w:left w:val="nil"/>
              <w:bottom w:val="single" w:sz="4" w:space="0" w:color="auto"/>
              <w:right w:val="nil"/>
            </w:tcBorders>
            <w:vAlign w:val="center"/>
            <w:hideMark/>
          </w:tcPr>
          <w:p w14:paraId="502323D9" w14:textId="77777777" w:rsidR="00B25F26" w:rsidRPr="00B25F26" w:rsidRDefault="00B25F26" w:rsidP="00B25F26">
            <w:pPr>
              <w:rPr>
                <w:b/>
                <w:bCs/>
                <w:lang w:val="en-IE"/>
              </w:rPr>
            </w:pPr>
            <w:r w:rsidRPr="00B25F26">
              <w:rPr>
                <w:b/>
                <w:bCs/>
                <w:lang w:val="en-IE"/>
              </w:rPr>
              <w:t>Significance*</w:t>
            </w:r>
          </w:p>
        </w:tc>
      </w:tr>
      <w:tr w:rsidR="00B25F26" w:rsidRPr="00B25F26" w14:paraId="526A0C8E" w14:textId="77777777" w:rsidTr="00EB32A1">
        <w:trPr>
          <w:trHeight w:val="309"/>
          <w:jc w:val="center"/>
        </w:trPr>
        <w:tc>
          <w:tcPr>
            <w:tcW w:w="2694" w:type="dxa"/>
            <w:vMerge/>
            <w:tcBorders>
              <w:top w:val="double" w:sz="4" w:space="0" w:color="auto"/>
              <w:left w:val="nil"/>
              <w:bottom w:val="single" w:sz="4" w:space="0" w:color="auto"/>
              <w:right w:val="nil"/>
            </w:tcBorders>
            <w:vAlign w:val="center"/>
            <w:hideMark/>
          </w:tcPr>
          <w:p w14:paraId="31D7C414" w14:textId="77777777" w:rsidR="00B25F26" w:rsidRPr="00B25F26" w:rsidRDefault="00B25F26" w:rsidP="00B25F26">
            <w:pPr>
              <w:rPr>
                <w:b/>
                <w:bCs/>
                <w:lang w:val="en-IE"/>
              </w:rPr>
            </w:pPr>
          </w:p>
        </w:tc>
        <w:tc>
          <w:tcPr>
            <w:tcW w:w="850" w:type="dxa"/>
            <w:tcBorders>
              <w:top w:val="single" w:sz="4" w:space="0" w:color="auto"/>
              <w:left w:val="nil"/>
              <w:bottom w:val="single" w:sz="4" w:space="0" w:color="auto"/>
              <w:right w:val="nil"/>
            </w:tcBorders>
            <w:vAlign w:val="center"/>
            <w:hideMark/>
          </w:tcPr>
          <w:p w14:paraId="3D89F92D" w14:textId="77777777" w:rsidR="00B25F26" w:rsidRPr="00B25F26" w:rsidRDefault="00B25F26" w:rsidP="00B25F26">
            <w:pPr>
              <w:rPr>
                <w:b/>
                <w:bCs/>
                <w:lang w:val="en-IE"/>
              </w:rPr>
            </w:pPr>
            <w:r w:rsidRPr="00B25F26">
              <w:rPr>
                <w:b/>
                <w:bCs/>
                <w:lang w:val="en-IE"/>
              </w:rPr>
              <w:t>M PRE</w:t>
            </w:r>
          </w:p>
        </w:tc>
        <w:tc>
          <w:tcPr>
            <w:tcW w:w="851" w:type="dxa"/>
            <w:tcBorders>
              <w:top w:val="single" w:sz="4" w:space="0" w:color="auto"/>
              <w:left w:val="nil"/>
              <w:bottom w:val="single" w:sz="4" w:space="0" w:color="auto"/>
              <w:right w:val="nil"/>
            </w:tcBorders>
            <w:vAlign w:val="center"/>
            <w:hideMark/>
          </w:tcPr>
          <w:p w14:paraId="7128F8E1" w14:textId="77777777" w:rsidR="00B25F26" w:rsidRPr="00B25F26" w:rsidRDefault="00B25F26" w:rsidP="00B25F26">
            <w:pPr>
              <w:rPr>
                <w:b/>
                <w:bCs/>
                <w:lang w:val="en-IE"/>
              </w:rPr>
            </w:pPr>
            <w:r w:rsidRPr="00B25F26">
              <w:rPr>
                <w:b/>
                <w:bCs/>
                <w:lang w:val="en-IE"/>
              </w:rPr>
              <w:t>H PRE</w:t>
            </w:r>
          </w:p>
        </w:tc>
        <w:tc>
          <w:tcPr>
            <w:tcW w:w="283" w:type="dxa"/>
            <w:tcBorders>
              <w:top w:val="nil"/>
              <w:left w:val="nil"/>
              <w:bottom w:val="single" w:sz="4" w:space="0" w:color="auto"/>
              <w:right w:val="nil"/>
            </w:tcBorders>
            <w:vAlign w:val="center"/>
          </w:tcPr>
          <w:p w14:paraId="4BE0BF28" w14:textId="77777777" w:rsidR="00B25F26" w:rsidRPr="00B25F26" w:rsidRDefault="00B25F26" w:rsidP="00B25F26">
            <w:pPr>
              <w:rPr>
                <w:b/>
                <w:bCs/>
                <w:lang w:val="en-IE"/>
              </w:rPr>
            </w:pPr>
          </w:p>
        </w:tc>
        <w:tc>
          <w:tcPr>
            <w:tcW w:w="992" w:type="dxa"/>
            <w:tcBorders>
              <w:top w:val="single" w:sz="4" w:space="0" w:color="auto"/>
              <w:left w:val="nil"/>
              <w:bottom w:val="single" w:sz="4" w:space="0" w:color="auto"/>
              <w:right w:val="nil"/>
            </w:tcBorders>
            <w:vAlign w:val="center"/>
            <w:hideMark/>
          </w:tcPr>
          <w:p w14:paraId="08123F45" w14:textId="77777777" w:rsidR="00B25F26" w:rsidRPr="00B25F26" w:rsidRDefault="00B25F26" w:rsidP="00B25F26">
            <w:pPr>
              <w:rPr>
                <w:b/>
                <w:bCs/>
                <w:lang w:val="en-IE"/>
              </w:rPr>
            </w:pPr>
            <w:r w:rsidRPr="00B25F26">
              <w:rPr>
                <w:b/>
                <w:bCs/>
                <w:lang w:val="en-IE"/>
              </w:rPr>
              <w:t>M POST</w:t>
            </w:r>
          </w:p>
        </w:tc>
        <w:tc>
          <w:tcPr>
            <w:tcW w:w="897" w:type="dxa"/>
            <w:tcBorders>
              <w:top w:val="single" w:sz="4" w:space="0" w:color="auto"/>
              <w:left w:val="nil"/>
              <w:bottom w:val="single" w:sz="4" w:space="0" w:color="auto"/>
              <w:right w:val="nil"/>
            </w:tcBorders>
            <w:vAlign w:val="center"/>
            <w:hideMark/>
          </w:tcPr>
          <w:p w14:paraId="3F11F676" w14:textId="77777777" w:rsidR="00B25F26" w:rsidRPr="00B25F26" w:rsidRDefault="00B25F26" w:rsidP="00B25F26">
            <w:pPr>
              <w:rPr>
                <w:b/>
                <w:bCs/>
                <w:lang w:val="en-IE"/>
              </w:rPr>
            </w:pPr>
            <w:r w:rsidRPr="00B25F26">
              <w:rPr>
                <w:b/>
                <w:bCs/>
                <w:lang w:val="en-IE"/>
              </w:rPr>
              <w:t>H POST</w:t>
            </w:r>
          </w:p>
        </w:tc>
        <w:tc>
          <w:tcPr>
            <w:tcW w:w="761" w:type="dxa"/>
            <w:tcBorders>
              <w:top w:val="nil"/>
              <w:left w:val="nil"/>
              <w:bottom w:val="single" w:sz="4" w:space="0" w:color="auto"/>
              <w:right w:val="nil"/>
            </w:tcBorders>
            <w:vAlign w:val="center"/>
            <w:hideMark/>
          </w:tcPr>
          <w:p w14:paraId="2F28CFC8" w14:textId="77777777" w:rsidR="00B25F26" w:rsidRPr="00B25F26" w:rsidRDefault="00B25F26" w:rsidP="00B25F26">
            <w:pPr>
              <w:rPr>
                <w:b/>
                <w:bCs/>
                <w:lang w:val="en-IE"/>
              </w:rPr>
            </w:pPr>
            <w:r w:rsidRPr="00B25F26">
              <w:rPr>
                <w:b/>
                <w:bCs/>
                <w:lang w:val="en-IE"/>
              </w:rPr>
              <w:t>SEM</w:t>
            </w:r>
          </w:p>
        </w:tc>
        <w:tc>
          <w:tcPr>
            <w:tcW w:w="304" w:type="dxa"/>
            <w:tcBorders>
              <w:top w:val="nil"/>
              <w:left w:val="nil"/>
              <w:bottom w:val="single" w:sz="4" w:space="0" w:color="auto"/>
              <w:right w:val="nil"/>
            </w:tcBorders>
            <w:vAlign w:val="center"/>
          </w:tcPr>
          <w:p w14:paraId="4BB7E700" w14:textId="77777777" w:rsidR="00B25F26" w:rsidRPr="00B25F26" w:rsidRDefault="00B25F26" w:rsidP="00B25F26">
            <w:pPr>
              <w:rPr>
                <w:b/>
                <w:bCs/>
                <w:lang w:val="en-IE"/>
              </w:rPr>
            </w:pPr>
          </w:p>
        </w:tc>
        <w:tc>
          <w:tcPr>
            <w:tcW w:w="1221" w:type="dxa"/>
            <w:tcBorders>
              <w:top w:val="single" w:sz="4" w:space="0" w:color="auto"/>
              <w:left w:val="nil"/>
              <w:bottom w:val="single" w:sz="4" w:space="0" w:color="auto"/>
              <w:right w:val="nil"/>
            </w:tcBorders>
            <w:vAlign w:val="center"/>
            <w:hideMark/>
          </w:tcPr>
          <w:p w14:paraId="6925BF71" w14:textId="77777777" w:rsidR="00B25F26" w:rsidRPr="00B25F26" w:rsidRDefault="00B25F26" w:rsidP="00B25F26">
            <w:pPr>
              <w:rPr>
                <w:b/>
                <w:bCs/>
                <w:lang w:val="en-IE"/>
              </w:rPr>
            </w:pPr>
            <w:r w:rsidRPr="00B25F26">
              <w:rPr>
                <w:b/>
                <w:bCs/>
                <w:lang w:val="en-IE"/>
              </w:rPr>
              <w:t>Pre-weaning</w:t>
            </w:r>
          </w:p>
        </w:tc>
        <w:tc>
          <w:tcPr>
            <w:tcW w:w="1212" w:type="dxa"/>
            <w:tcBorders>
              <w:top w:val="single" w:sz="4" w:space="0" w:color="auto"/>
              <w:left w:val="nil"/>
              <w:bottom w:val="single" w:sz="4" w:space="0" w:color="auto"/>
              <w:right w:val="nil"/>
            </w:tcBorders>
            <w:vAlign w:val="center"/>
            <w:hideMark/>
          </w:tcPr>
          <w:p w14:paraId="682E4716" w14:textId="77777777" w:rsidR="00B25F26" w:rsidRPr="00B25F26" w:rsidRDefault="00B25F26" w:rsidP="00B25F26">
            <w:pPr>
              <w:rPr>
                <w:b/>
                <w:bCs/>
                <w:lang w:val="en-IE"/>
              </w:rPr>
            </w:pPr>
            <w:r w:rsidRPr="00B25F26">
              <w:rPr>
                <w:b/>
                <w:bCs/>
                <w:lang w:val="en-IE"/>
              </w:rPr>
              <w:t>Post-weaning</w:t>
            </w:r>
          </w:p>
        </w:tc>
      </w:tr>
      <w:tr w:rsidR="00B25F26" w:rsidRPr="00B25F26" w14:paraId="7B7FF0A7" w14:textId="77777777" w:rsidTr="00EB32A1">
        <w:trPr>
          <w:trHeight w:val="160"/>
          <w:jc w:val="center"/>
        </w:trPr>
        <w:tc>
          <w:tcPr>
            <w:tcW w:w="10065" w:type="dxa"/>
            <w:gridSpan w:val="10"/>
            <w:tcBorders>
              <w:top w:val="single" w:sz="4" w:space="0" w:color="auto"/>
              <w:left w:val="nil"/>
              <w:bottom w:val="single" w:sz="4" w:space="0" w:color="auto"/>
              <w:right w:val="nil"/>
            </w:tcBorders>
            <w:hideMark/>
          </w:tcPr>
          <w:p w14:paraId="49707D33" w14:textId="77777777" w:rsidR="00B25F26" w:rsidRPr="00B25F26" w:rsidRDefault="00B25F26" w:rsidP="00B25F26">
            <w:pPr>
              <w:rPr>
                <w:b/>
                <w:bCs/>
                <w:lang w:val="en-IE"/>
              </w:rPr>
            </w:pPr>
            <w:r w:rsidRPr="00B25F26">
              <w:rPr>
                <w:b/>
                <w:bCs/>
                <w:lang w:val="en-IE"/>
              </w:rPr>
              <w:t>Bodyweight (kg)</w:t>
            </w:r>
          </w:p>
        </w:tc>
      </w:tr>
      <w:tr w:rsidR="00B25F26" w:rsidRPr="00B25F26" w14:paraId="0ABC903C" w14:textId="77777777" w:rsidTr="00EB32A1">
        <w:trPr>
          <w:trHeight w:val="148"/>
          <w:jc w:val="center"/>
        </w:trPr>
        <w:tc>
          <w:tcPr>
            <w:tcW w:w="2694" w:type="dxa"/>
            <w:tcBorders>
              <w:top w:val="single" w:sz="4" w:space="0" w:color="auto"/>
              <w:left w:val="nil"/>
              <w:bottom w:val="nil"/>
              <w:right w:val="nil"/>
            </w:tcBorders>
            <w:hideMark/>
          </w:tcPr>
          <w:p w14:paraId="764042C8" w14:textId="77777777" w:rsidR="00B25F26" w:rsidRPr="00B25F26" w:rsidRDefault="00B25F26" w:rsidP="00B25F26">
            <w:pPr>
              <w:rPr>
                <w:bCs/>
                <w:lang w:val="en-IE"/>
              </w:rPr>
            </w:pPr>
            <w:r w:rsidRPr="00B25F26">
              <w:rPr>
                <w:bCs/>
                <w:lang w:val="en-IE"/>
              </w:rPr>
              <w:t>Birthweight</w:t>
            </w:r>
          </w:p>
        </w:tc>
        <w:tc>
          <w:tcPr>
            <w:tcW w:w="850" w:type="dxa"/>
            <w:tcBorders>
              <w:top w:val="single" w:sz="4" w:space="0" w:color="auto"/>
              <w:left w:val="nil"/>
              <w:bottom w:val="nil"/>
              <w:right w:val="nil"/>
            </w:tcBorders>
            <w:vAlign w:val="center"/>
            <w:hideMark/>
          </w:tcPr>
          <w:p w14:paraId="1A4EE646" w14:textId="77777777" w:rsidR="00B25F26" w:rsidRPr="00B25F26" w:rsidRDefault="00B25F26" w:rsidP="00B25F26">
            <w:pPr>
              <w:rPr>
                <w:bCs/>
                <w:lang w:val="en-IE"/>
              </w:rPr>
            </w:pPr>
            <w:r w:rsidRPr="00B25F26">
              <w:rPr>
                <w:bCs/>
                <w:lang w:val="en-IE"/>
              </w:rPr>
              <w:t>35.3</w:t>
            </w:r>
          </w:p>
        </w:tc>
        <w:tc>
          <w:tcPr>
            <w:tcW w:w="851" w:type="dxa"/>
            <w:tcBorders>
              <w:top w:val="single" w:sz="4" w:space="0" w:color="auto"/>
              <w:left w:val="nil"/>
              <w:bottom w:val="nil"/>
              <w:right w:val="nil"/>
            </w:tcBorders>
            <w:vAlign w:val="center"/>
            <w:hideMark/>
          </w:tcPr>
          <w:p w14:paraId="5FE4C965" w14:textId="77777777" w:rsidR="00B25F26" w:rsidRPr="00B25F26" w:rsidRDefault="00B25F26" w:rsidP="00B25F26">
            <w:pPr>
              <w:rPr>
                <w:bCs/>
                <w:lang w:val="en-IE"/>
              </w:rPr>
            </w:pPr>
            <w:r w:rsidRPr="00B25F26">
              <w:rPr>
                <w:bCs/>
                <w:lang w:val="en-IE"/>
              </w:rPr>
              <w:t>36.9</w:t>
            </w:r>
          </w:p>
        </w:tc>
        <w:tc>
          <w:tcPr>
            <w:tcW w:w="283" w:type="dxa"/>
            <w:tcBorders>
              <w:top w:val="single" w:sz="4" w:space="0" w:color="auto"/>
              <w:left w:val="nil"/>
              <w:bottom w:val="nil"/>
              <w:right w:val="nil"/>
            </w:tcBorders>
            <w:vAlign w:val="center"/>
          </w:tcPr>
          <w:p w14:paraId="670F09D8" w14:textId="77777777" w:rsidR="00B25F26" w:rsidRPr="00B25F26" w:rsidRDefault="00B25F26" w:rsidP="00B25F26">
            <w:pPr>
              <w:rPr>
                <w:bCs/>
                <w:lang w:val="en-IE"/>
              </w:rPr>
            </w:pPr>
          </w:p>
        </w:tc>
        <w:tc>
          <w:tcPr>
            <w:tcW w:w="992" w:type="dxa"/>
            <w:tcBorders>
              <w:top w:val="single" w:sz="4" w:space="0" w:color="auto"/>
              <w:left w:val="nil"/>
              <w:bottom w:val="nil"/>
              <w:right w:val="nil"/>
            </w:tcBorders>
            <w:vAlign w:val="center"/>
            <w:hideMark/>
          </w:tcPr>
          <w:p w14:paraId="46F9A1B9" w14:textId="77777777" w:rsidR="00B25F26" w:rsidRPr="00B25F26" w:rsidRDefault="00B25F26" w:rsidP="00B25F26">
            <w:pPr>
              <w:rPr>
                <w:bCs/>
                <w:lang w:val="en-IE"/>
              </w:rPr>
            </w:pPr>
            <w:r w:rsidRPr="00B25F26">
              <w:rPr>
                <w:bCs/>
                <w:lang w:val="en-IE"/>
              </w:rPr>
              <w:t>36.4</w:t>
            </w:r>
          </w:p>
        </w:tc>
        <w:tc>
          <w:tcPr>
            <w:tcW w:w="897" w:type="dxa"/>
            <w:tcBorders>
              <w:top w:val="single" w:sz="4" w:space="0" w:color="auto"/>
              <w:left w:val="nil"/>
              <w:bottom w:val="nil"/>
              <w:right w:val="nil"/>
            </w:tcBorders>
            <w:vAlign w:val="center"/>
            <w:hideMark/>
          </w:tcPr>
          <w:p w14:paraId="71BE1284" w14:textId="77777777" w:rsidR="00B25F26" w:rsidRPr="00B25F26" w:rsidRDefault="00B25F26" w:rsidP="00B25F26">
            <w:pPr>
              <w:rPr>
                <w:bCs/>
                <w:lang w:val="en-IE"/>
              </w:rPr>
            </w:pPr>
            <w:r w:rsidRPr="00B25F26">
              <w:rPr>
                <w:bCs/>
                <w:lang w:val="en-IE"/>
              </w:rPr>
              <w:t>35.9</w:t>
            </w:r>
          </w:p>
        </w:tc>
        <w:tc>
          <w:tcPr>
            <w:tcW w:w="761" w:type="dxa"/>
            <w:vAlign w:val="center"/>
            <w:hideMark/>
          </w:tcPr>
          <w:p w14:paraId="23D949C4" w14:textId="77777777" w:rsidR="00B25F26" w:rsidRPr="00B25F26" w:rsidRDefault="00B25F26" w:rsidP="00B25F26">
            <w:pPr>
              <w:rPr>
                <w:bCs/>
                <w:lang w:val="en-IE"/>
              </w:rPr>
            </w:pPr>
            <w:r w:rsidRPr="00B25F26">
              <w:rPr>
                <w:bCs/>
                <w:lang w:val="en-IE"/>
              </w:rPr>
              <w:t>1.07</w:t>
            </w:r>
          </w:p>
        </w:tc>
        <w:tc>
          <w:tcPr>
            <w:tcW w:w="304" w:type="dxa"/>
            <w:tcBorders>
              <w:top w:val="single" w:sz="4" w:space="0" w:color="auto"/>
              <w:left w:val="nil"/>
              <w:bottom w:val="nil"/>
              <w:right w:val="nil"/>
            </w:tcBorders>
            <w:vAlign w:val="center"/>
          </w:tcPr>
          <w:p w14:paraId="61EFA8C3" w14:textId="77777777" w:rsidR="00B25F26" w:rsidRPr="00B25F26" w:rsidRDefault="00B25F26" w:rsidP="00B25F26">
            <w:pPr>
              <w:rPr>
                <w:bCs/>
                <w:lang w:val="en-IE"/>
              </w:rPr>
            </w:pPr>
          </w:p>
        </w:tc>
        <w:tc>
          <w:tcPr>
            <w:tcW w:w="1221" w:type="dxa"/>
            <w:tcBorders>
              <w:top w:val="single" w:sz="4" w:space="0" w:color="auto"/>
              <w:left w:val="nil"/>
              <w:bottom w:val="nil"/>
              <w:right w:val="nil"/>
            </w:tcBorders>
            <w:vAlign w:val="center"/>
            <w:hideMark/>
          </w:tcPr>
          <w:p w14:paraId="422A2266" w14:textId="77777777" w:rsidR="00B25F26" w:rsidRPr="00B25F26" w:rsidRDefault="00B25F26" w:rsidP="00B25F26">
            <w:pPr>
              <w:rPr>
                <w:bCs/>
                <w:lang w:val="en-IE"/>
              </w:rPr>
            </w:pPr>
            <w:r w:rsidRPr="00B25F26">
              <w:rPr>
                <w:bCs/>
                <w:lang w:val="en-IE"/>
              </w:rPr>
              <w:t>NS</w:t>
            </w:r>
          </w:p>
        </w:tc>
        <w:tc>
          <w:tcPr>
            <w:tcW w:w="1212" w:type="dxa"/>
            <w:tcBorders>
              <w:top w:val="single" w:sz="4" w:space="0" w:color="auto"/>
              <w:left w:val="nil"/>
              <w:bottom w:val="nil"/>
              <w:right w:val="nil"/>
            </w:tcBorders>
            <w:vAlign w:val="center"/>
            <w:hideMark/>
          </w:tcPr>
          <w:p w14:paraId="6576698F" w14:textId="77777777" w:rsidR="00B25F26" w:rsidRPr="00B25F26" w:rsidRDefault="00B25F26" w:rsidP="00B25F26">
            <w:pPr>
              <w:rPr>
                <w:bCs/>
                <w:lang w:val="en-IE"/>
              </w:rPr>
            </w:pPr>
            <w:r w:rsidRPr="00B25F26">
              <w:rPr>
                <w:bCs/>
                <w:lang w:val="en-IE"/>
              </w:rPr>
              <w:t>-</w:t>
            </w:r>
          </w:p>
        </w:tc>
      </w:tr>
      <w:tr w:rsidR="00B25F26" w:rsidRPr="00B25F26" w14:paraId="1EB5B585" w14:textId="77777777" w:rsidTr="00EB32A1">
        <w:trPr>
          <w:trHeight w:val="148"/>
          <w:jc w:val="center"/>
        </w:trPr>
        <w:tc>
          <w:tcPr>
            <w:tcW w:w="2694" w:type="dxa"/>
            <w:hideMark/>
          </w:tcPr>
          <w:p w14:paraId="7EF5F5E1" w14:textId="77777777" w:rsidR="00B25F26" w:rsidRPr="00B25F26" w:rsidRDefault="00B25F26" w:rsidP="00B25F26">
            <w:pPr>
              <w:rPr>
                <w:bCs/>
                <w:lang w:val="en-IE"/>
              </w:rPr>
            </w:pPr>
            <w:r w:rsidRPr="00B25F26">
              <w:rPr>
                <w:bCs/>
                <w:lang w:val="en-IE"/>
              </w:rPr>
              <w:t>Arrival (3 Weeks)</w:t>
            </w:r>
          </w:p>
        </w:tc>
        <w:tc>
          <w:tcPr>
            <w:tcW w:w="850" w:type="dxa"/>
            <w:vAlign w:val="center"/>
            <w:hideMark/>
          </w:tcPr>
          <w:p w14:paraId="3CE6BFC2" w14:textId="77777777" w:rsidR="00B25F26" w:rsidRPr="00B25F26" w:rsidRDefault="00B25F26" w:rsidP="00B25F26">
            <w:pPr>
              <w:rPr>
                <w:bCs/>
                <w:lang w:val="en-IE"/>
              </w:rPr>
            </w:pPr>
            <w:r w:rsidRPr="00B25F26">
              <w:rPr>
                <w:bCs/>
                <w:lang w:val="en-IE"/>
              </w:rPr>
              <w:t>46.8</w:t>
            </w:r>
          </w:p>
        </w:tc>
        <w:tc>
          <w:tcPr>
            <w:tcW w:w="851" w:type="dxa"/>
            <w:vAlign w:val="center"/>
            <w:hideMark/>
          </w:tcPr>
          <w:p w14:paraId="7B575B9A" w14:textId="77777777" w:rsidR="00B25F26" w:rsidRPr="00B25F26" w:rsidRDefault="00B25F26" w:rsidP="00B25F26">
            <w:pPr>
              <w:rPr>
                <w:bCs/>
                <w:lang w:val="en-IE"/>
              </w:rPr>
            </w:pPr>
            <w:r w:rsidRPr="00B25F26">
              <w:rPr>
                <w:bCs/>
                <w:lang w:val="en-IE"/>
              </w:rPr>
              <w:t>52.0</w:t>
            </w:r>
          </w:p>
        </w:tc>
        <w:tc>
          <w:tcPr>
            <w:tcW w:w="283" w:type="dxa"/>
            <w:vAlign w:val="center"/>
          </w:tcPr>
          <w:p w14:paraId="616212E3" w14:textId="77777777" w:rsidR="00B25F26" w:rsidRPr="00B25F26" w:rsidRDefault="00B25F26" w:rsidP="00B25F26">
            <w:pPr>
              <w:rPr>
                <w:bCs/>
                <w:lang w:val="en-IE"/>
              </w:rPr>
            </w:pPr>
          </w:p>
        </w:tc>
        <w:tc>
          <w:tcPr>
            <w:tcW w:w="992" w:type="dxa"/>
            <w:vAlign w:val="center"/>
            <w:hideMark/>
          </w:tcPr>
          <w:p w14:paraId="0A7B76B2" w14:textId="77777777" w:rsidR="00B25F26" w:rsidRPr="00B25F26" w:rsidRDefault="00B25F26" w:rsidP="00B25F26">
            <w:pPr>
              <w:rPr>
                <w:bCs/>
                <w:lang w:val="en-IE"/>
              </w:rPr>
            </w:pPr>
            <w:r w:rsidRPr="00B25F26">
              <w:rPr>
                <w:bCs/>
                <w:lang w:val="en-IE"/>
              </w:rPr>
              <w:t>49.9</w:t>
            </w:r>
          </w:p>
        </w:tc>
        <w:tc>
          <w:tcPr>
            <w:tcW w:w="897" w:type="dxa"/>
            <w:vAlign w:val="center"/>
            <w:hideMark/>
          </w:tcPr>
          <w:p w14:paraId="3D85312D" w14:textId="77777777" w:rsidR="00B25F26" w:rsidRPr="00B25F26" w:rsidRDefault="00B25F26" w:rsidP="00B25F26">
            <w:pPr>
              <w:rPr>
                <w:bCs/>
                <w:lang w:val="en-IE"/>
              </w:rPr>
            </w:pPr>
            <w:r w:rsidRPr="00B25F26">
              <w:rPr>
                <w:bCs/>
                <w:lang w:val="en-IE"/>
              </w:rPr>
              <w:t>48.9</w:t>
            </w:r>
          </w:p>
        </w:tc>
        <w:tc>
          <w:tcPr>
            <w:tcW w:w="761" w:type="dxa"/>
            <w:vAlign w:val="center"/>
            <w:hideMark/>
          </w:tcPr>
          <w:p w14:paraId="39BC7320" w14:textId="77777777" w:rsidR="00B25F26" w:rsidRPr="00B25F26" w:rsidRDefault="00B25F26" w:rsidP="00B25F26">
            <w:pPr>
              <w:rPr>
                <w:bCs/>
                <w:lang w:val="en-IE"/>
              </w:rPr>
            </w:pPr>
            <w:r w:rsidRPr="00B25F26">
              <w:rPr>
                <w:bCs/>
                <w:lang w:val="en-IE"/>
              </w:rPr>
              <w:t>1.20</w:t>
            </w:r>
          </w:p>
        </w:tc>
        <w:tc>
          <w:tcPr>
            <w:tcW w:w="304" w:type="dxa"/>
            <w:vAlign w:val="center"/>
          </w:tcPr>
          <w:p w14:paraId="0D995C0F" w14:textId="77777777" w:rsidR="00B25F26" w:rsidRPr="00B25F26" w:rsidRDefault="00B25F26" w:rsidP="00B25F26">
            <w:pPr>
              <w:rPr>
                <w:bCs/>
                <w:lang w:val="en-IE"/>
              </w:rPr>
            </w:pPr>
          </w:p>
        </w:tc>
        <w:tc>
          <w:tcPr>
            <w:tcW w:w="1221" w:type="dxa"/>
            <w:vAlign w:val="center"/>
            <w:hideMark/>
          </w:tcPr>
          <w:p w14:paraId="4F6D5F39" w14:textId="77777777" w:rsidR="00B25F26" w:rsidRPr="00B25F26" w:rsidRDefault="00B25F26" w:rsidP="00B25F26">
            <w:pPr>
              <w:rPr>
                <w:bCs/>
                <w:lang w:val="en-IE"/>
              </w:rPr>
            </w:pPr>
            <w:r w:rsidRPr="00B25F26">
              <w:rPr>
                <w:bCs/>
                <w:lang w:val="en-IE"/>
              </w:rPr>
              <w:t>**</w:t>
            </w:r>
          </w:p>
        </w:tc>
        <w:tc>
          <w:tcPr>
            <w:tcW w:w="1212" w:type="dxa"/>
            <w:vAlign w:val="center"/>
            <w:hideMark/>
          </w:tcPr>
          <w:p w14:paraId="31EAFB41" w14:textId="77777777" w:rsidR="00B25F26" w:rsidRPr="00B25F26" w:rsidRDefault="00B25F26" w:rsidP="00B25F26">
            <w:pPr>
              <w:rPr>
                <w:bCs/>
                <w:lang w:val="en-IE"/>
              </w:rPr>
            </w:pPr>
            <w:r w:rsidRPr="00B25F26">
              <w:rPr>
                <w:bCs/>
                <w:lang w:val="en-IE"/>
              </w:rPr>
              <w:t>-</w:t>
            </w:r>
          </w:p>
        </w:tc>
      </w:tr>
      <w:tr w:rsidR="00B25F26" w:rsidRPr="00B25F26" w14:paraId="4BDAD090" w14:textId="77777777" w:rsidTr="00EB32A1">
        <w:trPr>
          <w:trHeight w:val="171"/>
          <w:jc w:val="center"/>
        </w:trPr>
        <w:tc>
          <w:tcPr>
            <w:tcW w:w="2694" w:type="dxa"/>
            <w:hideMark/>
          </w:tcPr>
          <w:p w14:paraId="3C017F0A" w14:textId="77777777" w:rsidR="00B25F26" w:rsidRPr="00B25F26" w:rsidRDefault="00B25F26" w:rsidP="00B25F26">
            <w:pPr>
              <w:rPr>
                <w:bCs/>
                <w:lang w:val="en-IE"/>
              </w:rPr>
            </w:pPr>
            <w:r w:rsidRPr="00B25F26">
              <w:rPr>
                <w:bCs/>
                <w:lang w:val="en-IE"/>
              </w:rPr>
              <w:t>Weaning (11 Weeks)</w:t>
            </w:r>
          </w:p>
        </w:tc>
        <w:tc>
          <w:tcPr>
            <w:tcW w:w="850" w:type="dxa"/>
            <w:vAlign w:val="center"/>
            <w:hideMark/>
          </w:tcPr>
          <w:p w14:paraId="207386AA" w14:textId="77777777" w:rsidR="00B25F26" w:rsidRPr="00B25F26" w:rsidRDefault="00B25F26" w:rsidP="00B25F26">
            <w:pPr>
              <w:rPr>
                <w:bCs/>
                <w:lang w:val="en-IE"/>
              </w:rPr>
            </w:pPr>
            <w:r w:rsidRPr="00B25F26">
              <w:rPr>
                <w:bCs/>
                <w:lang w:val="en-IE"/>
              </w:rPr>
              <w:t>83.7</w:t>
            </w:r>
          </w:p>
        </w:tc>
        <w:tc>
          <w:tcPr>
            <w:tcW w:w="851" w:type="dxa"/>
            <w:vAlign w:val="center"/>
            <w:hideMark/>
          </w:tcPr>
          <w:p w14:paraId="0B01EE0B" w14:textId="77777777" w:rsidR="00B25F26" w:rsidRPr="00B25F26" w:rsidRDefault="00B25F26" w:rsidP="00B25F26">
            <w:pPr>
              <w:rPr>
                <w:bCs/>
                <w:lang w:val="en-IE"/>
              </w:rPr>
            </w:pPr>
            <w:r w:rsidRPr="00B25F26">
              <w:rPr>
                <w:bCs/>
                <w:lang w:val="en-IE"/>
              </w:rPr>
              <w:t>92.0</w:t>
            </w:r>
          </w:p>
        </w:tc>
        <w:tc>
          <w:tcPr>
            <w:tcW w:w="283" w:type="dxa"/>
            <w:vAlign w:val="center"/>
          </w:tcPr>
          <w:p w14:paraId="6415DE02" w14:textId="77777777" w:rsidR="00B25F26" w:rsidRPr="00B25F26" w:rsidRDefault="00B25F26" w:rsidP="00B25F26">
            <w:pPr>
              <w:rPr>
                <w:bCs/>
                <w:lang w:val="en-IE"/>
              </w:rPr>
            </w:pPr>
          </w:p>
        </w:tc>
        <w:tc>
          <w:tcPr>
            <w:tcW w:w="992" w:type="dxa"/>
            <w:vAlign w:val="center"/>
            <w:hideMark/>
          </w:tcPr>
          <w:p w14:paraId="35F2CD8A" w14:textId="77777777" w:rsidR="00B25F26" w:rsidRPr="00B25F26" w:rsidRDefault="00B25F26" w:rsidP="00B25F26">
            <w:pPr>
              <w:rPr>
                <w:bCs/>
                <w:lang w:val="en-IE"/>
              </w:rPr>
            </w:pPr>
            <w:r w:rsidRPr="00B25F26">
              <w:rPr>
                <w:bCs/>
                <w:lang w:val="en-IE"/>
              </w:rPr>
              <w:t>87.9</w:t>
            </w:r>
          </w:p>
        </w:tc>
        <w:tc>
          <w:tcPr>
            <w:tcW w:w="897" w:type="dxa"/>
            <w:vAlign w:val="center"/>
            <w:hideMark/>
          </w:tcPr>
          <w:p w14:paraId="3EC406AB" w14:textId="77777777" w:rsidR="00B25F26" w:rsidRPr="00B25F26" w:rsidRDefault="00B25F26" w:rsidP="00B25F26">
            <w:pPr>
              <w:rPr>
                <w:bCs/>
                <w:lang w:val="en-IE"/>
              </w:rPr>
            </w:pPr>
            <w:r w:rsidRPr="00B25F26">
              <w:rPr>
                <w:bCs/>
                <w:lang w:val="en-IE"/>
              </w:rPr>
              <w:t>87.8</w:t>
            </w:r>
          </w:p>
        </w:tc>
        <w:tc>
          <w:tcPr>
            <w:tcW w:w="761" w:type="dxa"/>
            <w:vAlign w:val="center"/>
            <w:hideMark/>
          </w:tcPr>
          <w:p w14:paraId="0140984E" w14:textId="77777777" w:rsidR="00B25F26" w:rsidRPr="00B25F26" w:rsidRDefault="00B25F26" w:rsidP="00B25F26">
            <w:pPr>
              <w:rPr>
                <w:bCs/>
                <w:lang w:val="en-IE"/>
              </w:rPr>
            </w:pPr>
            <w:r w:rsidRPr="00B25F26">
              <w:rPr>
                <w:bCs/>
                <w:lang w:val="en-IE"/>
              </w:rPr>
              <w:t>1.70</w:t>
            </w:r>
          </w:p>
        </w:tc>
        <w:tc>
          <w:tcPr>
            <w:tcW w:w="304" w:type="dxa"/>
            <w:vAlign w:val="center"/>
          </w:tcPr>
          <w:p w14:paraId="261F9512" w14:textId="77777777" w:rsidR="00B25F26" w:rsidRPr="00B25F26" w:rsidRDefault="00B25F26" w:rsidP="00B25F26">
            <w:pPr>
              <w:rPr>
                <w:bCs/>
                <w:lang w:val="en-IE"/>
              </w:rPr>
            </w:pPr>
          </w:p>
        </w:tc>
        <w:tc>
          <w:tcPr>
            <w:tcW w:w="1221" w:type="dxa"/>
            <w:vAlign w:val="center"/>
            <w:hideMark/>
          </w:tcPr>
          <w:p w14:paraId="24A697E0" w14:textId="77777777" w:rsidR="00B25F26" w:rsidRPr="00B25F26" w:rsidRDefault="00B25F26" w:rsidP="00B25F26">
            <w:pPr>
              <w:rPr>
                <w:bCs/>
                <w:lang w:val="en-IE"/>
              </w:rPr>
            </w:pPr>
            <w:r w:rsidRPr="00B25F26">
              <w:rPr>
                <w:bCs/>
                <w:lang w:val="en-IE"/>
              </w:rPr>
              <w:t>**</w:t>
            </w:r>
          </w:p>
        </w:tc>
        <w:tc>
          <w:tcPr>
            <w:tcW w:w="1212" w:type="dxa"/>
            <w:vAlign w:val="center"/>
            <w:hideMark/>
          </w:tcPr>
          <w:p w14:paraId="261D4488" w14:textId="77777777" w:rsidR="00B25F26" w:rsidRPr="00B25F26" w:rsidRDefault="00B25F26" w:rsidP="00B25F26">
            <w:pPr>
              <w:rPr>
                <w:bCs/>
                <w:lang w:val="en-IE"/>
              </w:rPr>
            </w:pPr>
            <w:r w:rsidRPr="00B25F26">
              <w:rPr>
                <w:bCs/>
                <w:lang w:val="en-IE"/>
              </w:rPr>
              <w:t>-</w:t>
            </w:r>
          </w:p>
        </w:tc>
      </w:tr>
      <w:tr w:rsidR="00B25F26" w:rsidRPr="00B25F26" w14:paraId="03AB2632" w14:textId="77777777" w:rsidTr="00EB32A1">
        <w:trPr>
          <w:trHeight w:val="277"/>
          <w:jc w:val="center"/>
        </w:trPr>
        <w:tc>
          <w:tcPr>
            <w:tcW w:w="2694" w:type="dxa"/>
            <w:hideMark/>
          </w:tcPr>
          <w:p w14:paraId="247FFA85" w14:textId="77777777" w:rsidR="00B25F26" w:rsidRPr="00B25F26" w:rsidRDefault="00B25F26" w:rsidP="00B25F26">
            <w:pPr>
              <w:rPr>
                <w:bCs/>
                <w:lang w:val="en-IE"/>
              </w:rPr>
            </w:pPr>
            <w:r w:rsidRPr="00B25F26">
              <w:rPr>
                <w:bCs/>
                <w:lang w:val="en-IE"/>
              </w:rPr>
              <w:t>Turnout (15 Weeks)</w:t>
            </w:r>
          </w:p>
        </w:tc>
        <w:tc>
          <w:tcPr>
            <w:tcW w:w="850" w:type="dxa"/>
            <w:vAlign w:val="center"/>
            <w:hideMark/>
          </w:tcPr>
          <w:p w14:paraId="5CBA8626" w14:textId="77777777" w:rsidR="00B25F26" w:rsidRPr="00B25F26" w:rsidRDefault="00B25F26" w:rsidP="00B25F26">
            <w:pPr>
              <w:rPr>
                <w:bCs/>
                <w:lang w:val="en-IE"/>
              </w:rPr>
            </w:pPr>
            <w:r w:rsidRPr="00B25F26">
              <w:rPr>
                <w:bCs/>
                <w:lang w:val="en-IE"/>
              </w:rPr>
              <w:t>108.8</w:t>
            </w:r>
          </w:p>
        </w:tc>
        <w:tc>
          <w:tcPr>
            <w:tcW w:w="851" w:type="dxa"/>
            <w:vAlign w:val="center"/>
            <w:hideMark/>
          </w:tcPr>
          <w:p w14:paraId="7AB944BB" w14:textId="77777777" w:rsidR="00B25F26" w:rsidRPr="00B25F26" w:rsidRDefault="00B25F26" w:rsidP="00B25F26">
            <w:pPr>
              <w:rPr>
                <w:bCs/>
                <w:lang w:val="en-IE"/>
              </w:rPr>
            </w:pPr>
            <w:r w:rsidRPr="00B25F26">
              <w:rPr>
                <w:bCs/>
                <w:lang w:val="en-IE"/>
              </w:rPr>
              <w:t>114.5</w:t>
            </w:r>
          </w:p>
        </w:tc>
        <w:tc>
          <w:tcPr>
            <w:tcW w:w="283" w:type="dxa"/>
            <w:vAlign w:val="center"/>
          </w:tcPr>
          <w:p w14:paraId="308EAD79" w14:textId="77777777" w:rsidR="00B25F26" w:rsidRPr="00B25F26" w:rsidRDefault="00B25F26" w:rsidP="00B25F26">
            <w:pPr>
              <w:rPr>
                <w:bCs/>
                <w:lang w:val="en-IE"/>
              </w:rPr>
            </w:pPr>
          </w:p>
        </w:tc>
        <w:tc>
          <w:tcPr>
            <w:tcW w:w="992" w:type="dxa"/>
            <w:vAlign w:val="center"/>
            <w:hideMark/>
          </w:tcPr>
          <w:p w14:paraId="6CA1D864" w14:textId="77777777" w:rsidR="00B25F26" w:rsidRPr="00B25F26" w:rsidRDefault="00B25F26" w:rsidP="00B25F26">
            <w:pPr>
              <w:rPr>
                <w:bCs/>
                <w:lang w:val="en-IE"/>
              </w:rPr>
            </w:pPr>
            <w:r w:rsidRPr="00B25F26">
              <w:rPr>
                <w:bCs/>
                <w:lang w:val="en-IE"/>
              </w:rPr>
              <w:t>102.0</w:t>
            </w:r>
          </w:p>
        </w:tc>
        <w:tc>
          <w:tcPr>
            <w:tcW w:w="897" w:type="dxa"/>
            <w:vAlign w:val="center"/>
            <w:hideMark/>
          </w:tcPr>
          <w:p w14:paraId="17F76194" w14:textId="77777777" w:rsidR="00B25F26" w:rsidRPr="00B25F26" w:rsidRDefault="00B25F26" w:rsidP="00B25F26">
            <w:pPr>
              <w:rPr>
                <w:bCs/>
                <w:lang w:val="en-IE"/>
              </w:rPr>
            </w:pPr>
            <w:r w:rsidRPr="00B25F26">
              <w:rPr>
                <w:bCs/>
                <w:lang w:val="en-IE"/>
              </w:rPr>
              <w:t>121.3</w:t>
            </w:r>
          </w:p>
        </w:tc>
        <w:tc>
          <w:tcPr>
            <w:tcW w:w="761" w:type="dxa"/>
            <w:vAlign w:val="center"/>
            <w:hideMark/>
          </w:tcPr>
          <w:p w14:paraId="086717F3" w14:textId="77777777" w:rsidR="00B25F26" w:rsidRPr="00B25F26" w:rsidRDefault="00B25F26" w:rsidP="00B25F26">
            <w:pPr>
              <w:rPr>
                <w:bCs/>
                <w:lang w:val="en-IE"/>
              </w:rPr>
            </w:pPr>
            <w:r w:rsidRPr="00B25F26">
              <w:rPr>
                <w:bCs/>
                <w:lang w:val="en-IE"/>
              </w:rPr>
              <w:t>2.00</w:t>
            </w:r>
          </w:p>
        </w:tc>
        <w:tc>
          <w:tcPr>
            <w:tcW w:w="304" w:type="dxa"/>
            <w:vAlign w:val="center"/>
          </w:tcPr>
          <w:p w14:paraId="760E8D0E" w14:textId="77777777" w:rsidR="00B25F26" w:rsidRPr="00B25F26" w:rsidRDefault="00B25F26" w:rsidP="00B25F26">
            <w:pPr>
              <w:rPr>
                <w:bCs/>
                <w:lang w:val="en-IE"/>
              </w:rPr>
            </w:pPr>
          </w:p>
        </w:tc>
        <w:tc>
          <w:tcPr>
            <w:tcW w:w="1221" w:type="dxa"/>
            <w:vAlign w:val="center"/>
            <w:hideMark/>
          </w:tcPr>
          <w:p w14:paraId="274652BD" w14:textId="77777777" w:rsidR="00B25F26" w:rsidRPr="00B25F26" w:rsidRDefault="00B25F26" w:rsidP="00B25F26">
            <w:pPr>
              <w:rPr>
                <w:bCs/>
                <w:lang w:val="en-IE"/>
              </w:rPr>
            </w:pPr>
            <w:r w:rsidRPr="00B25F26">
              <w:rPr>
                <w:bCs/>
                <w:lang w:val="en-IE"/>
              </w:rPr>
              <w:t>*</w:t>
            </w:r>
          </w:p>
        </w:tc>
        <w:tc>
          <w:tcPr>
            <w:tcW w:w="1212" w:type="dxa"/>
            <w:vAlign w:val="center"/>
            <w:hideMark/>
          </w:tcPr>
          <w:p w14:paraId="4FE0F1DA" w14:textId="77777777" w:rsidR="00B25F26" w:rsidRPr="00B25F26" w:rsidRDefault="00B25F26" w:rsidP="00B25F26">
            <w:pPr>
              <w:rPr>
                <w:bCs/>
                <w:lang w:val="en-IE"/>
              </w:rPr>
            </w:pPr>
            <w:r w:rsidRPr="00B25F26">
              <w:rPr>
                <w:bCs/>
                <w:lang w:val="en-IE"/>
              </w:rPr>
              <w:t>***</w:t>
            </w:r>
          </w:p>
        </w:tc>
      </w:tr>
      <w:tr w:rsidR="00B25F26" w:rsidRPr="00B25F26" w14:paraId="32026A3F" w14:textId="77777777" w:rsidTr="00EB32A1">
        <w:trPr>
          <w:trHeight w:val="183"/>
          <w:jc w:val="center"/>
        </w:trPr>
        <w:tc>
          <w:tcPr>
            <w:tcW w:w="2694" w:type="dxa"/>
            <w:hideMark/>
          </w:tcPr>
          <w:p w14:paraId="57E4F227" w14:textId="77777777" w:rsidR="00B25F26" w:rsidRPr="00B25F26" w:rsidRDefault="00B25F26" w:rsidP="00B25F26">
            <w:pPr>
              <w:rPr>
                <w:bCs/>
                <w:lang w:val="en-IE"/>
              </w:rPr>
            </w:pPr>
            <w:r w:rsidRPr="00B25F26">
              <w:rPr>
                <w:bCs/>
                <w:lang w:val="en-IE"/>
              </w:rPr>
              <w:t>Housing (9 months)</w:t>
            </w:r>
          </w:p>
        </w:tc>
        <w:tc>
          <w:tcPr>
            <w:tcW w:w="850" w:type="dxa"/>
            <w:vAlign w:val="center"/>
            <w:hideMark/>
          </w:tcPr>
          <w:p w14:paraId="052A9F88" w14:textId="77777777" w:rsidR="00B25F26" w:rsidRPr="00B25F26" w:rsidRDefault="00B25F26" w:rsidP="00B25F26">
            <w:pPr>
              <w:rPr>
                <w:bCs/>
                <w:lang w:val="en-IE"/>
              </w:rPr>
            </w:pPr>
            <w:r w:rsidRPr="00B25F26">
              <w:rPr>
                <w:bCs/>
                <w:lang w:val="en-IE"/>
              </w:rPr>
              <w:t>188.2</w:t>
            </w:r>
          </w:p>
        </w:tc>
        <w:tc>
          <w:tcPr>
            <w:tcW w:w="851" w:type="dxa"/>
            <w:vAlign w:val="center"/>
            <w:hideMark/>
          </w:tcPr>
          <w:p w14:paraId="4F36E452" w14:textId="77777777" w:rsidR="00B25F26" w:rsidRPr="00B25F26" w:rsidRDefault="00B25F26" w:rsidP="00B25F26">
            <w:pPr>
              <w:rPr>
                <w:bCs/>
                <w:lang w:val="en-IE"/>
              </w:rPr>
            </w:pPr>
            <w:r w:rsidRPr="00B25F26">
              <w:rPr>
                <w:bCs/>
                <w:lang w:val="en-IE"/>
              </w:rPr>
              <w:t>199.5</w:t>
            </w:r>
          </w:p>
        </w:tc>
        <w:tc>
          <w:tcPr>
            <w:tcW w:w="283" w:type="dxa"/>
            <w:vAlign w:val="center"/>
          </w:tcPr>
          <w:p w14:paraId="07E1F54F" w14:textId="77777777" w:rsidR="00B25F26" w:rsidRPr="00B25F26" w:rsidRDefault="00B25F26" w:rsidP="00B25F26">
            <w:pPr>
              <w:rPr>
                <w:bCs/>
                <w:lang w:val="en-IE"/>
              </w:rPr>
            </w:pPr>
          </w:p>
        </w:tc>
        <w:tc>
          <w:tcPr>
            <w:tcW w:w="992" w:type="dxa"/>
            <w:vAlign w:val="center"/>
            <w:hideMark/>
          </w:tcPr>
          <w:p w14:paraId="028C912C" w14:textId="77777777" w:rsidR="00B25F26" w:rsidRPr="00B25F26" w:rsidRDefault="00B25F26" w:rsidP="00B25F26">
            <w:pPr>
              <w:rPr>
                <w:bCs/>
                <w:lang w:val="en-IE"/>
              </w:rPr>
            </w:pPr>
            <w:r w:rsidRPr="00B25F26">
              <w:rPr>
                <w:bCs/>
                <w:lang w:val="en-IE"/>
              </w:rPr>
              <w:t>183.8</w:t>
            </w:r>
          </w:p>
        </w:tc>
        <w:tc>
          <w:tcPr>
            <w:tcW w:w="897" w:type="dxa"/>
            <w:vAlign w:val="center"/>
            <w:hideMark/>
          </w:tcPr>
          <w:p w14:paraId="65AA04AC" w14:textId="77777777" w:rsidR="00B25F26" w:rsidRPr="00B25F26" w:rsidRDefault="00B25F26" w:rsidP="00B25F26">
            <w:pPr>
              <w:rPr>
                <w:bCs/>
                <w:lang w:val="en-IE"/>
              </w:rPr>
            </w:pPr>
            <w:r w:rsidRPr="00B25F26">
              <w:rPr>
                <w:bCs/>
                <w:lang w:val="en-IE"/>
              </w:rPr>
              <w:t>203.8</w:t>
            </w:r>
          </w:p>
        </w:tc>
        <w:tc>
          <w:tcPr>
            <w:tcW w:w="761" w:type="dxa"/>
            <w:vAlign w:val="center"/>
            <w:hideMark/>
          </w:tcPr>
          <w:p w14:paraId="46822376" w14:textId="77777777" w:rsidR="00B25F26" w:rsidRPr="00B25F26" w:rsidRDefault="00B25F26" w:rsidP="00B25F26">
            <w:pPr>
              <w:rPr>
                <w:bCs/>
                <w:lang w:val="en-IE"/>
              </w:rPr>
            </w:pPr>
            <w:r w:rsidRPr="00B25F26">
              <w:rPr>
                <w:bCs/>
                <w:lang w:val="en-IE"/>
              </w:rPr>
              <w:t>4.72</w:t>
            </w:r>
          </w:p>
        </w:tc>
        <w:tc>
          <w:tcPr>
            <w:tcW w:w="304" w:type="dxa"/>
            <w:vAlign w:val="center"/>
          </w:tcPr>
          <w:p w14:paraId="099742B5" w14:textId="77777777" w:rsidR="00B25F26" w:rsidRPr="00B25F26" w:rsidRDefault="00B25F26" w:rsidP="00B25F26">
            <w:pPr>
              <w:rPr>
                <w:bCs/>
                <w:lang w:val="en-IE"/>
              </w:rPr>
            </w:pPr>
          </w:p>
        </w:tc>
        <w:tc>
          <w:tcPr>
            <w:tcW w:w="1221" w:type="dxa"/>
            <w:vAlign w:val="center"/>
            <w:hideMark/>
          </w:tcPr>
          <w:p w14:paraId="0AE6CF42" w14:textId="77777777" w:rsidR="00B25F26" w:rsidRPr="00B25F26" w:rsidRDefault="00B25F26" w:rsidP="00B25F26">
            <w:pPr>
              <w:rPr>
                <w:bCs/>
                <w:lang w:val="en-IE"/>
              </w:rPr>
            </w:pPr>
            <w:r w:rsidRPr="00B25F26">
              <w:rPr>
                <w:bCs/>
                <w:lang w:val="en-IE"/>
              </w:rPr>
              <w:t>*</w:t>
            </w:r>
          </w:p>
        </w:tc>
        <w:tc>
          <w:tcPr>
            <w:tcW w:w="1212" w:type="dxa"/>
            <w:vAlign w:val="center"/>
            <w:hideMark/>
          </w:tcPr>
          <w:p w14:paraId="53A9BE9D" w14:textId="77777777" w:rsidR="00B25F26" w:rsidRPr="00B25F26" w:rsidRDefault="00B25F26" w:rsidP="00B25F26">
            <w:pPr>
              <w:rPr>
                <w:bCs/>
                <w:lang w:val="en-IE"/>
              </w:rPr>
            </w:pPr>
            <w:r w:rsidRPr="00B25F26">
              <w:rPr>
                <w:bCs/>
                <w:lang w:val="en-IE"/>
              </w:rPr>
              <w:t>**</w:t>
            </w:r>
          </w:p>
        </w:tc>
      </w:tr>
      <w:tr w:rsidR="00B25F26" w:rsidRPr="00B25F26" w14:paraId="68FC8BBD" w14:textId="77777777" w:rsidTr="00EB32A1">
        <w:trPr>
          <w:trHeight w:val="447"/>
          <w:jc w:val="center"/>
        </w:trPr>
        <w:tc>
          <w:tcPr>
            <w:tcW w:w="2694" w:type="dxa"/>
            <w:hideMark/>
          </w:tcPr>
          <w:p w14:paraId="21B2CB3B" w14:textId="77777777" w:rsidR="00B25F26" w:rsidRPr="00B25F26" w:rsidRDefault="00B25F26" w:rsidP="00B25F26">
            <w:pPr>
              <w:rPr>
                <w:bCs/>
                <w:lang w:val="en-IE"/>
              </w:rPr>
            </w:pPr>
            <w:r w:rsidRPr="00B25F26">
              <w:rPr>
                <w:bCs/>
                <w:lang w:val="en-IE"/>
              </w:rPr>
              <w:t>Bodyweight at slaughter (16 months)</w:t>
            </w:r>
          </w:p>
        </w:tc>
        <w:tc>
          <w:tcPr>
            <w:tcW w:w="850" w:type="dxa"/>
            <w:vAlign w:val="center"/>
            <w:hideMark/>
          </w:tcPr>
          <w:p w14:paraId="632B4FD4" w14:textId="77777777" w:rsidR="00B25F26" w:rsidRPr="00B25F26" w:rsidRDefault="00B25F26" w:rsidP="00B25F26">
            <w:pPr>
              <w:rPr>
                <w:bCs/>
                <w:lang w:val="en-IE"/>
              </w:rPr>
            </w:pPr>
            <w:r w:rsidRPr="00B25F26">
              <w:rPr>
                <w:bCs/>
                <w:lang w:val="en-IE"/>
              </w:rPr>
              <w:t>522.0</w:t>
            </w:r>
          </w:p>
        </w:tc>
        <w:tc>
          <w:tcPr>
            <w:tcW w:w="851" w:type="dxa"/>
            <w:vAlign w:val="center"/>
            <w:hideMark/>
          </w:tcPr>
          <w:p w14:paraId="0FA2571A" w14:textId="77777777" w:rsidR="00B25F26" w:rsidRPr="00B25F26" w:rsidRDefault="00B25F26" w:rsidP="00B25F26">
            <w:pPr>
              <w:rPr>
                <w:bCs/>
                <w:lang w:val="en-IE"/>
              </w:rPr>
            </w:pPr>
            <w:r w:rsidRPr="00B25F26">
              <w:rPr>
                <w:bCs/>
                <w:lang w:val="en-IE"/>
              </w:rPr>
              <w:t>531.3</w:t>
            </w:r>
          </w:p>
        </w:tc>
        <w:tc>
          <w:tcPr>
            <w:tcW w:w="283" w:type="dxa"/>
            <w:vAlign w:val="center"/>
          </w:tcPr>
          <w:p w14:paraId="61F4472D" w14:textId="77777777" w:rsidR="00B25F26" w:rsidRPr="00B25F26" w:rsidRDefault="00B25F26" w:rsidP="00B25F26">
            <w:pPr>
              <w:rPr>
                <w:bCs/>
                <w:lang w:val="en-IE"/>
              </w:rPr>
            </w:pPr>
          </w:p>
        </w:tc>
        <w:tc>
          <w:tcPr>
            <w:tcW w:w="992" w:type="dxa"/>
            <w:vAlign w:val="center"/>
            <w:hideMark/>
          </w:tcPr>
          <w:p w14:paraId="735B752B" w14:textId="77777777" w:rsidR="00B25F26" w:rsidRPr="00B25F26" w:rsidRDefault="00B25F26" w:rsidP="00B25F26">
            <w:pPr>
              <w:rPr>
                <w:bCs/>
                <w:lang w:val="en-IE"/>
              </w:rPr>
            </w:pPr>
            <w:r w:rsidRPr="00B25F26">
              <w:rPr>
                <w:bCs/>
                <w:lang w:val="en-IE"/>
              </w:rPr>
              <w:t>512.0</w:t>
            </w:r>
          </w:p>
        </w:tc>
        <w:tc>
          <w:tcPr>
            <w:tcW w:w="897" w:type="dxa"/>
            <w:vAlign w:val="center"/>
            <w:hideMark/>
          </w:tcPr>
          <w:p w14:paraId="16AADB13" w14:textId="77777777" w:rsidR="00B25F26" w:rsidRPr="00B25F26" w:rsidRDefault="00B25F26" w:rsidP="00B25F26">
            <w:pPr>
              <w:rPr>
                <w:bCs/>
                <w:lang w:val="en-IE"/>
              </w:rPr>
            </w:pPr>
            <w:r w:rsidRPr="00B25F26">
              <w:rPr>
                <w:bCs/>
                <w:lang w:val="en-IE"/>
              </w:rPr>
              <w:t>541.2</w:t>
            </w:r>
          </w:p>
        </w:tc>
        <w:tc>
          <w:tcPr>
            <w:tcW w:w="761" w:type="dxa"/>
            <w:vAlign w:val="center"/>
            <w:hideMark/>
          </w:tcPr>
          <w:p w14:paraId="33A32379" w14:textId="77777777" w:rsidR="00B25F26" w:rsidRPr="00B25F26" w:rsidRDefault="00B25F26" w:rsidP="00B25F26">
            <w:pPr>
              <w:rPr>
                <w:bCs/>
                <w:lang w:val="en-IE"/>
              </w:rPr>
            </w:pPr>
            <w:r w:rsidRPr="00B25F26">
              <w:rPr>
                <w:bCs/>
                <w:lang w:val="en-IE"/>
              </w:rPr>
              <w:t>9.27</w:t>
            </w:r>
          </w:p>
        </w:tc>
        <w:tc>
          <w:tcPr>
            <w:tcW w:w="304" w:type="dxa"/>
            <w:vAlign w:val="center"/>
          </w:tcPr>
          <w:p w14:paraId="14949BF2" w14:textId="77777777" w:rsidR="00B25F26" w:rsidRPr="00B25F26" w:rsidRDefault="00B25F26" w:rsidP="00B25F26">
            <w:pPr>
              <w:rPr>
                <w:bCs/>
                <w:lang w:val="en-IE"/>
              </w:rPr>
            </w:pPr>
          </w:p>
        </w:tc>
        <w:tc>
          <w:tcPr>
            <w:tcW w:w="1221" w:type="dxa"/>
            <w:vAlign w:val="center"/>
            <w:hideMark/>
          </w:tcPr>
          <w:p w14:paraId="242F553A" w14:textId="77777777" w:rsidR="00B25F26" w:rsidRPr="00B25F26" w:rsidRDefault="00B25F26" w:rsidP="00B25F26">
            <w:pPr>
              <w:rPr>
                <w:bCs/>
                <w:lang w:val="en-IE"/>
              </w:rPr>
            </w:pPr>
            <w:r w:rsidRPr="00B25F26">
              <w:rPr>
                <w:bCs/>
                <w:lang w:val="en-IE"/>
              </w:rPr>
              <w:t>NS</w:t>
            </w:r>
          </w:p>
        </w:tc>
        <w:tc>
          <w:tcPr>
            <w:tcW w:w="1212" w:type="dxa"/>
            <w:vAlign w:val="center"/>
            <w:hideMark/>
          </w:tcPr>
          <w:p w14:paraId="46E56265" w14:textId="77777777" w:rsidR="00B25F26" w:rsidRPr="00B25F26" w:rsidRDefault="00B25F26" w:rsidP="00B25F26">
            <w:pPr>
              <w:rPr>
                <w:bCs/>
                <w:lang w:val="en-IE"/>
              </w:rPr>
            </w:pPr>
            <w:r w:rsidRPr="00B25F26">
              <w:rPr>
                <w:bCs/>
                <w:lang w:val="en-IE"/>
              </w:rPr>
              <w:t>**</w:t>
            </w:r>
          </w:p>
        </w:tc>
      </w:tr>
      <w:tr w:rsidR="00B25F26" w:rsidRPr="00B25F26" w14:paraId="3FAE6F52" w14:textId="77777777" w:rsidTr="00EB32A1">
        <w:trPr>
          <w:trHeight w:val="160"/>
          <w:jc w:val="center"/>
        </w:trPr>
        <w:tc>
          <w:tcPr>
            <w:tcW w:w="2694" w:type="dxa"/>
            <w:hideMark/>
          </w:tcPr>
          <w:p w14:paraId="3B89C3B4" w14:textId="77777777" w:rsidR="00B25F26" w:rsidRPr="00B25F26" w:rsidRDefault="00B25F26" w:rsidP="00B25F26">
            <w:pPr>
              <w:rPr>
                <w:bCs/>
                <w:lang w:val="en-IE"/>
              </w:rPr>
            </w:pPr>
            <w:r w:rsidRPr="00B25F26">
              <w:rPr>
                <w:bCs/>
                <w:lang w:val="en-IE"/>
              </w:rPr>
              <w:t>Carcass weight</w:t>
            </w:r>
          </w:p>
        </w:tc>
        <w:tc>
          <w:tcPr>
            <w:tcW w:w="850" w:type="dxa"/>
            <w:vAlign w:val="center"/>
            <w:hideMark/>
          </w:tcPr>
          <w:p w14:paraId="2F259567" w14:textId="77777777" w:rsidR="00B25F26" w:rsidRPr="00B25F26" w:rsidRDefault="00B25F26" w:rsidP="00B25F26">
            <w:pPr>
              <w:rPr>
                <w:bCs/>
                <w:lang w:val="en-IE"/>
              </w:rPr>
            </w:pPr>
            <w:r w:rsidRPr="00B25F26">
              <w:rPr>
                <w:bCs/>
                <w:lang w:val="en-IE"/>
              </w:rPr>
              <w:t>270.1</w:t>
            </w:r>
          </w:p>
        </w:tc>
        <w:tc>
          <w:tcPr>
            <w:tcW w:w="851" w:type="dxa"/>
            <w:vAlign w:val="center"/>
            <w:hideMark/>
          </w:tcPr>
          <w:p w14:paraId="4FE14F0F" w14:textId="77777777" w:rsidR="00B25F26" w:rsidRPr="00B25F26" w:rsidRDefault="00B25F26" w:rsidP="00B25F26">
            <w:pPr>
              <w:rPr>
                <w:bCs/>
                <w:lang w:val="en-IE"/>
              </w:rPr>
            </w:pPr>
            <w:r w:rsidRPr="00B25F26">
              <w:rPr>
                <w:bCs/>
                <w:lang w:val="en-IE"/>
              </w:rPr>
              <w:t>273.8</w:t>
            </w:r>
          </w:p>
        </w:tc>
        <w:tc>
          <w:tcPr>
            <w:tcW w:w="283" w:type="dxa"/>
            <w:vAlign w:val="center"/>
          </w:tcPr>
          <w:p w14:paraId="11A2C699" w14:textId="77777777" w:rsidR="00B25F26" w:rsidRPr="00B25F26" w:rsidRDefault="00B25F26" w:rsidP="00B25F26">
            <w:pPr>
              <w:rPr>
                <w:bCs/>
                <w:lang w:val="en-IE"/>
              </w:rPr>
            </w:pPr>
          </w:p>
        </w:tc>
        <w:tc>
          <w:tcPr>
            <w:tcW w:w="992" w:type="dxa"/>
            <w:vAlign w:val="center"/>
            <w:hideMark/>
          </w:tcPr>
          <w:p w14:paraId="2CA98E63" w14:textId="77777777" w:rsidR="00B25F26" w:rsidRPr="00B25F26" w:rsidRDefault="00B25F26" w:rsidP="00B25F26">
            <w:pPr>
              <w:rPr>
                <w:bCs/>
                <w:lang w:val="en-IE"/>
              </w:rPr>
            </w:pPr>
            <w:r w:rsidRPr="00B25F26">
              <w:rPr>
                <w:bCs/>
                <w:lang w:val="en-IE"/>
              </w:rPr>
              <w:t>263.8</w:t>
            </w:r>
          </w:p>
        </w:tc>
        <w:tc>
          <w:tcPr>
            <w:tcW w:w="897" w:type="dxa"/>
            <w:vAlign w:val="center"/>
            <w:hideMark/>
          </w:tcPr>
          <w:p w14:paraId="7FC82548" w14:textId="77777777" w:rsidR="00B25F26" w:rsidRPr="00B25F26" w:rsidRDefault="00B25F26" w:rsidP="00B25F26">
            <w:pPr>
              <w:rPr>
                <w:bCs/>
                <w:lang w:val="en-IE"/>
              </w:rPr>
            </w:pPr>
            <w:r w:rsidRPr="00B25F26">
              <w:rPr>
                <w:bCs/>
                <w:lang w:val="en-IE"/>
              </w:rPr>
              <w:t>280.1</w:t>
            </w:r>
          </w:p>
        </w:tc>
        <w:tc>
          <w:tcPr>
            <w:tcW w:w="761" w:type="dxa"/>
            <w:vAlign w:val="center"/>
            <w:hideMark/>
          </w:tcPr>
          <w:p w14:paraId="3C4B39A3" w14:textId="77777777" w:rsidR="00B25F26" w:rsidRPr="00B25F26" w:rsidRDefault="00B25F26" w:rsidP="00B25F26">
            <w:pPr>
              <w:rPr>
                <w:bCs/>
                <w:lang w:val="en-IE"/>
              </w:rPr>
            </w:pPr>
            <w:r w:rsidRPr="00B25F26">
              <w:rPr>
                <w:bCs/>
                <w:lang w:val="en-IE"/>
              </w:rPr>
              <w:t>5.40</w:t>
            </w:r>
          </w:p>
        </w:tc>
        <w:tc>
          <w:tcPr>
            <w:tcW w:w="304" w:type="dxa"/>
            <w:vAlign w:val="center"/>
          </w:tcPr>
          <w:p w14:paraId="2CEEED12" w14:textId="77777777" w:rsidR="00B25F26" w:rsidRPr="00B25F26" w:rsidRDefault="00B25F26" w:rsidP="00B25F26">
            <w:pPr>
              <w:rPr>
                <w:bCs/>
                <w:lang w:val="en-IE"/>
              </w:rPr>
            </w:pPr>
          </w:p>
        </w:tc>
        <w:tc>
          <w:tcPr>
            <w:tcW w:w="1221" w:type="dxa"/>
            <w:vAlign w:val="center"/>
            <w:hideMark/>
          </w:tcPr>
          <w:p w14:paraId="6509909F" w14:textId="77777777" w:rsidR="00B25F26" w:rsidRPr="00B25F26" w:rsidRDefault="00B25F26" w:rsidP="00B25F26">
            <w:pPr>
              <w:rPr>
                <w:bCs/>
                <w:lang w:val="en-IE"/>
              </w:rPr>
            </w:pPr>
            <w:r w:rsidRPr="00B25F26">
              <w:rPr>
                <w:bCs/>
                <w:lang w:val="en-IE"/>
              </w:rPr>
              <w:t>NS</w:t>
            </w:r>
          </w:p>
        </w:tc>
        <w:tc>
          <w:tcPr>
            <w:tcW w:w="1212" w:type="dxa"/>
            <w:vAlign w:val="center"/>
            <w:hideMark/>
          </w:tcPr>
          <w:p w14:paraId="3AFE0FBC" w14:textId="77777777" w:rsidR="00B25F26" w:rsidRPr="00B25F26" w:rsidRDefault="00B25F26" w:rsidP="00B25F26">
            <w:pPr>
              <w:rPr>
                <w:bCs/>
                <w:lang w:val="en-IE"/>
              </w:rPr>
            </w:pPr>
            <w:r w:rsidRPr="00B25F26">
              <w:rPr>
                <w:bCs/>
                <w:lang w:val="en-IE"/>
              </w:rPr>
              <w:t>**</w:t>
            </w:r>
          </w:p>
        </w:tc>
      </w:tr>
      <w:tr w:rsidR="00B25F26" w:rsidRPr="00B25F26" w14:paraId="695EB20C" w14:textId="77777777" w:rsidTr="00EB32A1">
        <w:trPr>
          <w:trHeight w:val="148"/>
          <w:jc w:val="center"/>
        </w:trPr>
        <w:tc>
          <w:tcPr>
            <w:tcW w:w="2694" w:type="dxa"/>
            <w:hideMark/>
          </w:tcPr>
          <w:p w14:paraId="21F17655" w14:textId="77777777" w:rsidR="00B25F26" w:rsidRPr="00B25F26" w:rsidRDefault="00B25F26" w:rsidP="00B25F26">
            <w:pPr>
              <w:rPr>
                <w:bCs/>
                <w:lang w:val="en-IE"/>
              </w:rPr>
            </w:pPr>
            <w:r w:rsidRPr="00B25F26">
              <w:rPr>
                <w:bCs/>
                <w:lang w:val="en-IE"/>
              </w:rPr>
              <w:t>Conformation</w:t>
            </w:r>
          </w:p>
        </w:tc>
        <w:tc>
          <w:tcPr>
            <w:tcW w:w="850" w:type="dxa"/>
            <w:vAlign w:val="center"/>
            <w:hideMark/>
          </w:tcPr>
          <w:p w14:paraId="475550AD" w14:textId="77777777" w:rsidR="00B25F26" w:rsidRPr="00B25F26" w:rsidRDefault="00B25F26" w:rsidP="00B25F26">
            <w:pPr>
              <w:rPr>
                <w:bCs/>
                <w:lang w:val="en-IE"/>
              </w:rPr>
            </w:pPr>
            <w:r w:rsidRPr="00B25F26">
              <w:rPr>
                <w:bCs/>
                <w:lang w:val="en-IE"/>
              </w:rPr>
              <w:t>5.4</w:t>
            </w:r>
          </w:p>
        </w:tc>
        <w:tc>
          <w:tcPr>
            <w:tcW w:w="851" w:type="dxa"/>
            <w:vAlign w:val="center"/>
            <w:hideMark/>
          </w:tcPr>
          <w:p w14:paraId="2F04E6B9" w14:textId="77777777" w:rsidR="00B25F26" w:rsidRPr="00B25F26" w:rsidRDefault="00B25F26" w:rsidP="00B25F26">
            <w:pPr>
              <w:rPr>
                <w:bCs/>
                <w:lang w:val="en-IE"/>
              </w:rPr>
            </w:pPr>
            <w:r w:rsidRPr="00B25F26">
              <w:rPr>
                <w:bCs/>
                <w:lang w:val="en-IE"/>
              </w:rPr>
              <w:t>4.9</w:t>
            </w:r>
          </w:p>
        </w:tc>
        <w:tc>
          <w:tcPr>
            <w:tcW w:w="283" w:type="dxa"/>
            <w:vAlign w:val="center"/>
          </w:tcPr>
          <w:p w14:paraId="6A1413EE" w14:textId="77777777" w:rsidR="00B25F26" w:rsidRPr="00B25F26" w:rsidRDefault="00B25F26" w:rsidP="00B25F26">
            <w:pPr>
              <w:rPr>
                <w:bCs/>
                <w:lang w:val="en-IE"/>
              </w:rPr>
            </w:pPr>
          </w:p>
        </w:tc>
        <w:tc>
          <w:tcPr>
            <w:tcW w:w="992" w:type="dxa"/>
            <w:vAlign w:val="center"/>
            <w:hideMark/>
          </w:tcPr>
          <w:p w14:paraId="1F4D91AA" w14:textId="77777777" w:rsidR="00B25F26" w:rsidRPr="00B25F26" w:rsidRDefault="00B25F26" w:rsidP="00B25F26">
            <w:pPr>
              <w:rPr>
                <w:bCs/>
                <w:lang w:val="en-IE"/>
              </w:rPr>
            </w:pPr>
            <w:r w:rsidRPr="00B25F26">
              <w:rPr>
                <w:bCs/>
                <w:lang w:val="en-IE"/>
              </w:rPr>
              <w:t>5.0</w:t>
            </w:r>
          </w:p>
        </w:tc>
        <w:tc>
          <w:tcPr>
            <w:tcW w:w="897" w:type="dxa"/>
            <w:vAlign w:val="center"/>
            <w:hideMark/>
          </w:tcPr>
          <w:p w14:paraId="7DD9F86D" w14:textId="77777777" w:rsidR="00B25F26" w:rsidRPr="00B25F26" w:rsidRDefault="00B25F26" w:rsidP="00B25F26">
            <w:pPr>
              <w:rPr>
                <w:bCs/>
                <w:lang w:val="en-IE"/>
              </w:rPr>
            </w:pPr>
            <w:r w:rsidRPr="00B25F26">
              <w:rPr>
                <w:bCs/>
                <w:lang w:val="en-IE"/>
              </w:rPr>
              <w:t>5.4</w:t>
            </w:r>
          </w:p>
        </w:tc>
        <w:tc>
          <w:tcPr>
            <w:tcW w:w="761" w:type="dxa"/>
            <w:vAlign w:val="center"/>
            <w:hideMark/>
          </w:tcPr>
          <w:p w14:paraId="2E1C6D5A" w14:textId="77777777" w:rsidR="00B25F26" w:rsidRPr="00B25F26" w:rsidRDefault="00B25F26" w:rsidP="00B25F26">
            <w:pPr>
              <w:rPr>
                <w:bCs/>
                <w:lang w:val="en-IE"/>
              </w:rPr>
            </w:pPr>
            <w:r w:rsidRPr="00B25F26">
              <w:rPr>
                <w:bCs/>
                <w:lang w:val="en-IE"/>
              </w:rPr>
              <w:t>0.32</w:t>
            </w:r>
          </w:p>
        </w:tc>
        <w:tc>
          <w:tcPr>
            <w:tcW w:w="304" w:type="dxa"/>
            <w:vAlign w:val="center"/>
          </w:tcPr>
          <w:p w14:paraId="139BE400" w14:textId="77777777" w:rsidR="00B25F26" w:rsidRPr="00B25F26" w:rsidRDefault="00B25F26" w:rsidP="00B25F26">
            <w:pPr>
              <w:rPr>
                <w:bCs/>
                <w:lang w:val="en-IE"/>
              </w:rPr>
            </w:pPr>
          </w:p>
        </w:tc>
        <w:tc>
          <w:tcPr>
            <w:tcW w:w="1221" w:type="dxa"/>
            <w:vAlign w:val="center"/>
            <w:hideMark/>
          </w:tcPr>
          <w:p w14:paraId="5E86805B" w14:textId="77777777" w:rsidR="00B25F26" w:rsidRPr="00B25F26" w:rsidRDefault="00B25F26" w:rsidP="00B25F26">
            <w:pPr>
              <w:rPr>
                <w:bCs/>
                <w:lang w:val="en-IE"/>
              </w:rPr>
            </w:pPr>
            <w:r w:rsidRPr="00B25F26">
              <w:rPr>
                <w:bCs/>
                <w:lang w:val="en-IE"/>
              </w:rPr>
              <w:t>NS</w:t>
            </w:r>
          </w:p>
        </w:tc>
        <w:tc>
          <w:tcPr>
            <w:tcW w:w="1212" w:type="dxa"/>
            <w:vAlign w:val="center"/>
            <w:hideMark/>
          </w:tcPr>
          <w:p w14:paraId="68F71147" w14:textId="77777777" w:rsidR="00B25F26" w:rsidRPr="00B25F26" w:rsidRDefault="00B25F26" w:rsidP="00B25F26">
            <w:pPr>
              <w:rPr>
                <w:bCs/>
                <w:lang w:val="en-IE"/>
              </w:rPr>
            </w:pPr>
            <w:r w:rsidRPr="00B25F26">
              <w:rPr>
                <w:bCs/>
                <w:lang w:val="en-IE"/>
              </w:rPr>
              <w:t>NS</w:t>
            </w:r>
          </w:p>
        </w:tc>
      </w:tr>
      <w:tr w:rsidR="00B25F26" w:rsidRPr="00B25F26" w14:paraId="4D0C48D3" w14:textId="77777777" w:rsidTr="00B25F26">
        <w:trPr>
          <w:trHeight w:val="289"/>
          <w:jc w:val="center"/>
        </w:trPr>
        <w:tc>
          <w:tcPr>
            <w:tcW w:w="2694" w:type="dxa"/>
            <w:tcBorders>
              <w:top w:val="nil"/>
              <w:left w:val="nil"/>
              <w:bottom w:val="single" w:sz="4" w:space="0" w:color="auto"/>
              <w:right w:val="nil"/>
            </w:tcBorders>
            <w:hideMark/>
          </w:tcPr>
          <w:p w14:paraId="70E16DB8" w14:textId="77777777" w:rsidR="00B25F26" w:rsidRPr="00B25F26" w:rsidRDefault="00B25F26" w:rsidP="00B25F26">
            <w:pPr>
              <w:rPr>
                <w:bCs/>
                <w:lang w:val="en-IE"/>
              </w:rPr>
            </w:pPr>
            <w:r w:rsidRPr="00B25F26">
              <w:rPr>
                <w:bCs/>
                <w:lang w:val="en-IE"/>
              </w:rPr>
              <w:t>Fat score</w:t>
            </w:r>
          </w:p>
        </w:tc>
        <w:tc>
          <w:tcPr>
            <w:tcW w:w="850" w:type="dxa"/>
            <w:tcBorders>
              <w:top w:val="nil"/>
              <w:left w:val="nil"/>
              <w:bottom w:val="single" w:sz="4" w:space="0" w:color="auto"/>
              <w:right w:val="nil"/>
            </w:tcBorders>
            <w:vAlign w:val="center"/>
            <w:hideMark/>
          </w:tcPr>
          <w:p w14:paraId="133B133F" w14:textId="77777777" w:rsidR="00B25F26" w:rsidRPr="00B25F26" w:rsidRDefault="00B25F26" w:rsidP="00B25F26">
            <w:pPr>
              <w:rPr>
                <w:bCs/>
                <w:lang w:val="en-IE"/>
              </w:rPr>
            </w:pPr>
            <w:r w:rsidRPr="00B25F26">
              <w:rPr>
                <w:bCs/>
                <w:lang w:val="en-IE"/>
              </w:rPr>
              <w:t>7.2</w:t>
            </w:r>
          </w:p>
        </w:tc>
        <w:tc>
          <w:tcPr>
            <w:tcW w:w="851" w:type="dxa"/>
            <w:tcBorders>
              <w:top w:val="nil"/>
              <w:left w:val="nil"/>
              <w:bottom w:val="single" w:sz="4" w:space="0" w:color="auto"/>
              <w:right w:val="nil"/>
            </w:tcBorders>
            <w:vAlign w:val="center"/>
            <w:hideMark/>
          </w:tcPr>
          <w:p w14:paraId="5C5E24D6" w14:textId="77777777" w:rsidR="00B25F26" w:rsidRPr="00B25F26" w:rsidRDefault="00B25F26" w:rsidP="00B25F26">
            <w:pPr>
              <w:rPr>
                <w:bCs/>
                <w:lang w:val="en-IE"/>
              </w:rPr>
            </w:pPr>
            <w:r w:rsidRPr="00B25F26">
              <w:rPr>
                <w:bCs/>
                <w:lang w:val="en-IE"/>
              </w:rPr>
              <w:t>6.6</w:t>
            </w:r>
          </w:p>
        </w:tc>
        <w:tc>
          <w:tcPr>
            <w:tcW w:w="283" w:type="dxa"/>
            <w:tcBorders>
              <w:top w:val="nil"/>
              <w:left w:val="nil"/>
              <w:bottom w:val="single" w:sz="4" w:space="0" w:color="auto"/>
              <w:right w:val="nil"/>
            </w:tcBorders>
            <w:vAlign w:val="center"/>
          </w:tcPr>
          <w:p w14:paraId="22B8147D" w14:textId="77777777" w:rsidR="00B25F26" w:rsidRPr="00B25F26" w:rsidRDefault="00B25F26" w:rsidP="00B25F26">
            <w:pPr>
              <w:rPr>
                <w:bCs/>
                <w:lang w:val="en-IE"/>
              </w:rPr>
            </w:pPr>
          </w:p>
        </w:tc>
        <w:tc>
          <w:tcPr>
            <w:tcW w:w="992" w:type="dxa"/>
            <w:tcBorders>
              <w:top w:val="nil"/>
              <w:left w:val="nil"/>
              <w:bottom w:val="single" w:sz="4" w:space="0" w:color="auto"/>
              <w:right w:val="nil"/>
            </w:tcBorders>
            <w:vAlign w:val="center"/>
            <w:hideMark/>
          </w:tcPr>
          <w:p w14:paraId="0AF6C4B9" w14:textId="77777777" w:rsidR="00B25F26" w:rsidRPr="00B25F26" w:rsidRDefault="00B25F26" w:rsidP="00B25F26">
            <w:pPr>
              <w:rPr>
                <w:bCs/>
                <w:lang w:val="en-IE"/>
              </w:rPr>
            </w:pPr>
            <w:r w:rsidRPr="00B25F26">
              <w:rPr>
                <w:bCs/>
                <w:lang w:val="en-IE"/>
              </w:rPr>
              <w:t>7.1</w:t>
            </w:r>
          </w:p>
        </w:tc>
        <w:tc>
          <w:tcPr>
            <w:tcW w:w="897" w:type="dxa"/>
            <w:tcBorders>
              <w:top w:val="nil"/>
              <w:left w:val="nil"/>
              <w:bottom w:val="single" w:sz="4" w:space="0" w:color="auto"/>
              <w:right w:val="nil"/>
            </w:tcBorders>
            <w:vAlign w:val="center"/>
            <w:hideMark/>
          </w:tcPr>
          <w:p w14:paraId="37E5A15C" w14:textId="77777777" w:rsidR="00B25F26" w:rsidRPr="00B25F26" w:rsidRDefault="00B25F26" w:rsidP="00B25F26">
            <w:pPr>
              <w:rPr>
                <w:bCs/>
                <w:lang w:val="en-IE"/>
              </w:rPr>
            </w:pPr>
            <w:r w:rsidRPr="00B25F26">
              <w:rPr>
                <w:bCs/>
                <w:lang w:val="en-IE"/>
              </w:rPr>
              <w:t>6.7</w:t>
            </w:r>
          </w:p>
        </w:tc>
        <w:tc>
          <w:tcPr>
            <w:tcW w:w="761" w:type="dxa"/>
            <w:tcBorders>
              <w:bottom w:val="single" w:sz="4" w:space="0" w:color="auto"/>
            </w:tcBorders>
            <w:vAlign w:val="center"/>
            <w:hideMark/>
          </w:tcPr>
          <w:p w14:paraId="7F6C0A14" w14:textId="77777777" w:rsidR="00B25F26" w:rsidRPr="00B25F26" w:rsidRDefault="00B25F26" w:rsidP="00B25F26">
            <w:pPr>
              <w:rPr>
                <w:bCs/>
                <w:lang w:val="en-IE"/>
              </w:rPr>
            </w:pPr>
            <w:r w:rsidRPr="00B25F26">
              <w:rPr>
                <w:bCs/>
                <w:lang w:val="en-IE"/>
              </w:rPr>
              <w:t>0.45</w:t>
            </w:r>
          </w:p>
        </w:tc>
        <w:tc>
          <w:tcPr>
            <w:tcW w:w="304" w:type="dxa"/>
            <w:tcBorders>
              <w:top w:val="nil"/>
              <w:left w:val="nil"/>
              <w:bottom w:val="single" w:sz="4" w:space="0" w:color="auto"/>
              <w:right w:val="nil"/>
            </w:tcBorders>
            <w:vAlign w:val="center"/>
          </w:tcPr>
          <w:p w14:paraId="6ECBA24A" w14:textId="77777777" w:rsidR="00B25F26" w:rsidRPr="00B25F26" w:rsidRDefault="00B25F26" w:rsidP="00B25F26">
            <w:pPr>
              <w:rPr>
                <w:bCs/>
                <w:lang w:val="en-IE"/>
              </w:rPr>
            </w:pPr>
          </w:p>
        </w:tc>
        <w:tc>
          <w:tcPr>
            <w:tcW w:w="1221" w:type="dxa"/>
            <w:tcBorders>
              <w:top w:val="nil"/>
              <w:left w:val="nil"/>
              <w:bottom w:val="single" w:sz="4" w:space="0" w:color="auto"/>
              <w:right w:val="nil"/>
            </w:tcBorders>
            <w:vAlign w:val="center"/>
            <w:hideMark/>
          </w:tcPr>
          <w:p w14:paraId="151DE8FF" w14:textId="77777777" w:rsidR="00B25F26" w:rsidRPr="00B25F26" w:rsidRDefault="00B25F26" w:rsidP="00B25F26">
            <w:pPr>
              <w:rPr>
                <w:bCs/>
                <w:lang w:val="en-IE"/>
              </w:rPr>
            </w:pPr>
            <w:r w:rsidRPr="00B25F26">
              <w:rPr>
                <w:bCs/>
                <w:lang w:val="en-IE"/>
              </w:rPr>
              <w:t>NS</w:t>
            </w:r>
          </w:p>
        </w:tc>
        <w:tc>
          <w:tcPr>
            <w:tcW w:w="1212" w:type="dxa"/>
            <w:tcBorders>
              <w:top w:val="nil"/>
              <w:left w:val="nil"/>
              <w:bottom w:val="single" w:sz="4" w:space="0" w:color="auto"/>
              <w:right w:val="nil"/>
            </w:tcBorders>
            <w:vAlign w:val="center"/>
            <w:hideMark/>
          </w:tcPr>
          <w:p w14:paraId="378038B5" w14:textId="77777777" w:rsidR="00B25F26" w:rsidRPr="00B25F26" w:rsidRDefault="00B25F26" w:rsidP="00B25F26">
            <w:pPr>
              <w:rPr>
                <w:bCs/>
                <w:lang w:val="en-IE"/>
              </w:rPr>
            </w:pPr>
            <w:r w:rsidRPr="00B25F26">
              <w:rPr>
                <w:bCs/>
                <w:lang w:val="en-IE"/>
              </w:rPr>
              <w:t>NS</w:t>
            </w:r>
          </w:p>
        </w:tc>
      </w:tr>
      <w:tr w:rsidR="00B25F26" w:rsidRPr="00B25F26" w14:paraId="49C4905D" w14:textId="77777777" w:rsidTr="00B25F26">
        <w:trPr>
          <w:trHeight w:val="233"/>
          <w:jc w:val="center"/>
        </w:trPr>
        <w:tc>
          <w:tcPr>
            <w:tcW w:w="10065" w:type="dxa"/>
            <w:gridSpan w:val="10"/>
            <w:tcBorders>
              <w:top w:val="single" w:sz="4" w:space="0" w:color="auto"/>
              <w:left w:val="nil"/>
              <w:bottom w:val="single" w:sz="4" w:space="0" w:color="auto"/>
              <w:right w:val="nil"/>
            </w:tcBorders>
            <w:vAlign w:val="center"/>
            <w:hideMark/>
          </w:tcPr>
          <w:p w14:paraId="0E3CB3A6" w14:textId="77777777" w:rsidR="00B25F26" w:rsidRPr="00B25F26" w:rsidRDefault="00B25F26" w:rsidP="00B25F26">
            <w:pPr>
              <w:rPr>
                <w:b/>
                <w:bCs/>
                <w:lang w:val="en-IE"/>
              </w:rPr>
            </w:pPr>
            <w:r w:rsidRPr="00B25F26">
              <w:rPr>
                <w:b/>
                <w:bCs/>
                <w:lang w:val="en-IE"/>
              </w:rPr>
              <w:t>Average daily gain (kg)</w:t>
            </w:r>
          </w:p>
        </w:tc>
      </w:tr>
      <w:tr w:rsidR="00B25F26" w:rsidRPr="00B25F26" w14:paraId="5977BA29" w14:textId="77777777" w:rsidTr="00EB32A1">
        <w:trPr>
          <w:trHeight w:val="309"/>
          <w:jc w:val="center"/>
        </w:trPr>
        <w:tc>
          <w:tcPr>
            <w:tcW w:w="2694" w:type="dxa"/>
            <w:tcBorders>
              <w:top w:val="single" w:sz="4" w:space="0" w:color="auto"/>
              <w:left w:val="nil"/>
              <w:bottom w:val="nil"/>
              <w:right w:val="nil"/>
            </w:tcBorders>
            <w:hideMark/>
          </w:tcPr>
          <w:p w14:paraId="14E32E4F" w14:textId="77777777" w:rsidR="00B25F26" w:rsidRPr="00B25F26" w:rsidRDefault="00B25F26" w:rsidP="00B25F26">
            <w:pPr>
              <w:rPr>
                <w:bCs/>
                <w:lang w:val="en-IE"/>
              </w:rPr>
            </w:pPr>
            <w:r w:rsidRPr="00B25F26">
              <w:rPr>
                <w:bCs/>
                <w:lang w:val="en-IE"/>
              </w:rPr>
              <w:t>Pre-weaning period (11 weeks)</w:t>
            </w:r>
          </w:p>
        </w:tc>
        <w:tc>
          <w:tcPr>
            <w:tcW w:w="850" w:type="dxa"/>
            <w:tcBorders>
              <w:top w:val="single" w:sz="4" w:space="0" w:color="auto"/>
              <w:left w:val="nil"/>
              <w:bottom w:val="nil"/>
              <w:right w:val="nil"/>
            </w:tcBorders>
            <w:vAlign w:val="center"/>
            <w:hideMark/>
          </w:tcPr>
          <w:p w14:paraId="6A743D1A" w14:textId="77777777" w:rsidR="00B25F26" w:rsidRPr="00B25F26" w:rsidRDefault="00B25F26" w:rsidP="00B25F26">
            <w:pPr>
              <w:rPr>
                <w:bCs/>
                <w:lang w:val="en-IE"/>
              </w:rPr>
            </w:pPr>
            <w:r w:rsidRPr="00B25F26">
              <w:rPr>
                <w:bCs/>
                <w:lang w:val="en-IE"/>
              </w:rPr>
              <w:t>0.71</w:t>
            </w:r>
          </w:p>
        </w:tc>
        <w:tc>
          <w:tcPr>
            <w:tcW w:w="851" w:type="dxa"/>
            <w:tcBorders>
              <w:top w:val="single" w:sz="4" w:space="0" w:color="auto"/>
              <w:left w:val="nil"/>
              <w:bottom w:val="nil"/>
              <w:right w:val="nil"/>
            </w:tcBorders>
            <w:vAlign w:val="center"/>
            <w:hideMark/>
          </w:tcPr>
          <w:p w14:paraId="0858F553" w14:textId="77777777" w:rsidR="00B25F26" w:rsidRPr="00B25F26" w:rsidRDefault="00B25F26" w:rsidP="00B25F26">
            <w:pPr>
              <w:rPr>
                <w:bCs/>
                <w:lang w:val="en-IE"/>
              </w:rPr>
            </w:pPr>
            <w:r w:rsidRPr="00B25F26">
              <w:rPr>
                <w:bCs/>
                <w:lang w:val="en-IE"/>
              </w:rPr>
              <w:t>0.81</w:t>
            </w:r>
          </w:p>
        </w:tc>
        <w:tc>
          <w:tcPr>
            <w:tcW w:w="283" w:type="dxa"/>
            <w:tcBorders>
              <w:top w:val="single" w:sz="4" w:space="0" w:color="auto"/>
              <w:left w:val="nil"/>
              <w:bottom w:val="nil"/>
              <w:right w:val="nil"/>
            </w:tcBorders>
            <w:vAlign w:val="center"/>
          </w:tcPr>
          <w:p w14:paraId="57C833B0" w14:textId="77777777" w:rsidR="00B25F26" w:rsidRPr="00B25F26" w:rsidRDefault="00B25F26" w:rsidP="00B25F26">
            <w:pPr>
              <w:rPr>
                <w:bCs/>
                <w:lang w:val="en-IE"/>
              </w:rPr>
            </w:pPr>
          </w:p>
        </w:tc>
        <w:tc>
          <w:tcPr>
            <w:tcW w:w="992" w:type="dxa"/>
            <w:tcBorders>
              <w:top w:val="single" w:sz="4" w:space="0" w:color="auto"/>
              <w:left w:val="nil"/>
              <w:bottom w:val="nil"/>
              <w:right w:val="nil"/>
            </w:tcBorders>
            <w:vAlign w:val="center"/>
            <w:hideMark/>
          </w:tcPr>
          <w:p w14:paraId="3673CC2B" w14:textId="77777777" w:rsidR="00B25F26" w:rsidRPr="00B25F26" w:rsidRDefault="00B25F26" w:rsidP="00B25F26">
            <w:pPr>
              <w:rPr>
                <w:bCs/>
                <w:lang w:val="en-IE"/>
              </w:rPr>
            </w:pPr>
            <w:r w:rsidRPr="00B25F26">
              <w:rPr>
                <w:bCs/>
                <w:lang w:val="en-IE"/>
              </w:rPr>
              <w:t>-</w:t>
            </w:r>
          </w:p>
        </w:tc>
        <w:tc>
          <w:tcPr>
            <w:tcW w:w="897" w:type="dxa"/>
            <w:tcBorders>
              <w:top w:val="single" w:sz="4" w:space="0" w:color="auto"/>
              <w:left w:val="nil"/>
              <w:bottom w:val="nil"/>
              <w:right w:val="nil"/>
            </w:tcBorders>
            <w:vAlign w:val="center"/>
            <w:hideMark/>
          </w:tcPr>
          <w:p w14:paraId="136C504F" w14:textId="77777777" w:rsidR="00B25F26" w:rsidRPr="00B25F26" w:rsidRDefault="00B25F26" w:rsidP="00B25F26">
            <w:pPr>
              <w:rPr>
                <w:bCs/>
                <w:lang w:val="en-IE"/>
              </w:rPr>
            </w:pPr>
            <w:r w:rsidRPr="00B25F26">
              <w:rPr>
                <w:bCs/>
                <w:lang w:val="en-IE"/>
              </w:rPr>
              <w:t>-</w:t>
            </w:r>
          </w:p>
        </w:tc>
        <w:tc>
          <w:tcPr>
            <w:tcW w:w="761" w:type="dxa"/>
            <w:tcBorders>
              <w:top w:val="single" w:sz="4" w:space="0" w:color="auto"/>
              <w:left w:val="nil"/>
              <w:bottom w:val="nil"/>
              <w:right w:val="nil"/>
            </w:tcBorders>
            <w:vAlign w:val="center"/>
            <w:hideMark/>
          </w:tcPr>
          <w:p w14:paraId="3D51B380" w14:textId="77777777" w:rsidR="00B25F26" w:rsidRPr="00B25F26" w:rsidRDefault="00B25F26" w:rsidP="00B25F26">
            <w:pPr>
              <w:rPr>
                <w:bCs/>
                <w:lang w:val="en-IE"/>
              </w:rPr>
            </w:pPr>
            <w:r w:rsidRPr="00B25F26">
              <w:rPr>
                <w:bCs/>
                <w:lang w:val="en-IE"/>
              </w:rPr>
              <w:t>0.024</w:t>
            </w:r>
          </w:p>
        </w:tc>
        <w:tc>
          <w:tcPr>
            <w:tcW w:w="304" w:type="dxa"/>
            <w:tcBorders>
              <w:top w:val="single" w:sz="4" w:space="0" w:color="auto"/>
              <w:left w:val="nil"/>
              <w:bottom w:val="nil"/>
              <w:right w:val="nil"/>
            </w:tcBorders>
            <w:vAlign w:val="center"/>
          </w:tcPr>
          <w:p w14:paraId="02601650" w14:textId="77777777" w:rsidR="00B25F26" w:rsidRPr="00B25F26" w:rsidRDefault="00B25F26" w:rsidP="00B25F26">
            <w:pPr>
              <w:rPr>
                <w:bCs/>
                <w:lang w:val="en-IE"/>
              </w:rPr>
            </w:pPr>
          </w:p>
        </w:tc>
        <w:tc>
          <w:tcPr>
            <w:tcW w:w="1221" w:type="dxa"/>
            <w:tcBorders>
              <w:top w:val="single" w:sz="4" w:space="0" w:color="auto"/>
              <w:left w:val="nil"/>
              <w:bottom w:val="nil"/>
              <w:right w:val="nil"/>
            </w:tcBorders>
            <w:vAlign w:val="center"/>
            <w:hideMark/>
          </w:tcPr>
          <w:p w14:paraId="3B44A240" w14:textId="77777777" w:rsidR="00B25F26" w:rsidRPr="00B25F26" w:rsidRDefault="00B25F26" w:rsidP="00B25F26">
            <w:pPr>
              <w:rPr>
                <w:bCs/>
                <w:lang w:val="en-IE"/>
              </w:rPr>
            </w:pPr>
            <w:r w:rsidRPr="00B25F26">
              <w:rPr>
                <w:bCs/>
                <w:lang w:val="en-IE"/>
              </w:rPr>
              <w:t>*</w:t>
            </w:r>
          </w:p>
        </w:tc>
        <w:tc>
          <w:tcPr>
            <w:tcW w:w="1212" w:type="dxa"/>
            <w:tcBorders>
              <w:top w:val="single" w:sz="4" w:space="0" w:color="auto"/>
              <w:left w:val="nil"/>
              <w:bottom w:val="nil"/>
              <w:right w:val="nil"/>
            </w:tcBorders>
            <w:vAlign w:val="center"/>
            <w:hideMark/>
          </w:tcPr>
          <w:p w14:paraId="53114B04" w14:textId="77777777" w:rsidR="00B25F26" w:rsidRPr="00B25F26" w:rsidRDefault="00B25F26" w:rsidP="00B25F26">
            <w:pPr>
              <w:rPr>
                <w:bCs/>
                <w:lang w:val="en-IE"/>
              </w:rPr>
            </w:pPr>
            <w:r w:rsidRPr="00B25F26">
              <w:rPr>
                <w:bCs/>
                <w:lang w:val="en-IE"/>
              </w:rPr>
              <w:t>-</w:t>
            </w:r>
          </w:p>
        </w:tc>
      </w:tr>
      <w:tr w:rsidR="00B25F26" w:rsidRPr="00B25F26" w14:paraId="65BC0C19" w14:textId="77777777" w:rsidTr="00EB32A1">
        <w:trPr>
          <w:trHeight w:val="297"/>
          <w:jc w:val="center"/>
        </w:trPr>
        <w:tc>
          <w:tcPr>
            <w:tcW w:w="2694" w:type="dxa"/>
            <w:hideMark/>
          </w:tcPr>
          <w:p w14:paraId="612D8B56" w14:textId="77777777" w:rsidR="00B25F26" w:rsidRPr="00B25F26" w:rsidRDefault="00B25F26" w:rsidP="00B25F26">
            <w:pPr>
              <w:rPr>
                <w:bCs/>
                <w:lang w:val="en-IE"/>
              </w:rPr>
            </w:pPr>
            <w:r w:rsidRPr="00B25F26">
              <w:rPr>
                <w:bCs/>
                <w:lang w:val="en-IE"/>
              </w:rPr>
              <w:t>Post-weaning period (4 weeks)</w:t>
            </w:r>
          </w:p>
        </w:tc>
        <w:tc>
          <w:tcPr>
            <w:tcW w:w="850" w:type="dxa"/>
            <w:vAlign w:val="center"/>
            <w:hideMark/>
          </w:tcPr>
          <w:p w14:paraId="2B475748" w14:textId="77777777" w:rsidR="00B25F26" w:rsidRPr="00B25F26" w:rsidRDefault="00B25F26" w:rsidP="00B25F26">
            <w:pPr>
              <w:rPr>
                <w:bCs/>
                <w:lang w:val="en-IE"/>
              </w:rPr>
            </w:pPr>
            <w:r w:rsidRPr="00B25F26">
              <w:rPr>
                <w:bCs/>
                <w:lang w:val="en-IE"/>
              </w:rPr>
              <w:t>0.91</w:t>
            </w:r>
          </w:p>
        </w:tc>
        <w:tc>
          <w:tcPr>
            <w:tcW w:w="851" w:type="dxa"/>
            <w:vAlign w:val="center"/>
            <w:hideMark/>
          </w:tcPr>
          <w:p w14:paraId="6AEC345A" w14:textId="77777777" w:rsidR="00B25F26" w:rsidRPr="00B25F26" w:rsidRDefault="00B25F26" w:rsidP="00B25F26">
            <w:pPr>
              <w:rPr>
                <w:bCs/>
                <w:lang w:val="en-IE"/>
              </w:rPr>
            </w:pPr>
            <w:r w:rsidRPr="00B25F26">
              <w:rPr>
                <w:bCs/>
                <w:lang w:val="en-IE"/>
              </w:rPr>
              <w:t>0.84</w:t>
            </w:r>
          </w:p>
        </w:tc>
        <w:tc>
          <w:tcPr>
            <w:tcW w:w="283" w:type="dxa"/>
            <w:vAlign w:val="center"/>
          </w:tcPr>
          <w:p w14:paraId="02A160AD" w14:textId="77777777" w:rsidR="00B25F26" w:rsidRPr="00B25F26" w:rsidRDefault="00B25F26" w:rsidP="00B25F26">
            <w:pPr>
              <w:rPr>
                <w:bCs/>
                <w:lang w:val="en-IE"/>
              </w:rPr>
            </w:pPr>
          </w:p>
        </w:tc>
        <w:tc>
          <w:tcPr>
            <w:tcW w:w="992" w:type="dxa"/>
            <w:vAlign w:val="center"/>
            <w:hideMark/>
          </w:tcPr>
          <w:p w14:paraId="0406899E" w14:textId="77777777" w:rsidR="00B25F26" w:rsidRPr="00B25F26" w:rsidRDefault="00B25F26" w:rsidP="00B25F26">
            <w:pPr>
              <w:rPr>
                <w:bCs/>
                <w:lang w:val="en-IE"/>
              </w:rPr>
            </w:pPr>
            <w:r w:rsidRPr="00B25F26">
              <w:rPr>
                <w:bCs/>
                <w:lang w:val="en-IE"/>
              </w:rPr>
              <w:t>0.55</w:t>
            </w:r>
          </w:p>
        </w:tc>
        <w:tc>
          <w:tcPr>
            <w:tcW w:w="897" w:type="dxa"/>
            <w:vAlign w:val="center"/>
            <w:hideMark/>
          </w:tcPr>
          <w:p w14:paraId="09DA31CB" w14:textId="77777777" w:rsidR="00B25F26" w:rsidRPr="00B25F26" w:rsidRDefault="00B25F26" w:rsidP="00B25F26">
            <w:pPr>
              <w:rPr>
                <w:bCs/>
                <w:lang w:val="en-IE"/>
              </w:rPr>
            </w:pPr>
            <w:r w:rsidRPr="00B25F26">
              <w:rPr>
                <w:bCs/>
                <w:lang w:val="en-IE"/>
              </w:rPr>
              <w:t>1.20</w:t>
            </w:r>
          </w:p>
        </w:tc>
        <w:tc>
          <w:tcPr>
            <w:tcW w:w="761" w:type="dxa"/>
            <w:vAlign w:val="center"/>
            <w:hideMark/>
          </w:tcPr>
          <w:p w14:paraId="12B4F67B" w14:textId="77777777" w:rsidR="00B25F26" w:rsidRPr="00B25F26" w:rsidRDefault="00B25F26" w:rsidP="00B25F26">
            <w:pPr>
              <w:rPr>
                <w:bCs/>
                <w:lang w:val="en-IE"/>
              </w:rPr>
            </w:pPr>
            <w:r w:rsidRPr="00B25F26">
              <w:rPr>
                <w:bCs/>
                <w:lang w:val="en-IE"/>
              </w:rPr>
              <w:t>0.040</w:t>
            </w:r>
          </w:p>
        </w:tc>
        <w:tc>
          <w:tcPr>
            <w:tcW w:w="304" w:type="dxa"/>
            <w:vAlign w:val="center"/>
          </w:tcPr>
          <w:p w14:paraId="43608AAD" w14:textId="77777777" w:rsidR="00B25F26" w:rsidRPr="00B25F26" w:rsidRDefault="00B25F26" w:rsidP="00B25F26">
            <w:pPr>
              <w:rPr>
                <w:bCs/>
                <w:lang w:val="en-IE"/>
              </w:rPr>
            </w:pPr>
          </w:p>
        </w:tc>
        <w:tc>
          <w:tcPr>
            <w:tcW w:w="1221" w:type="dxa"/>
            <w:vAlign w:val="center"/>
            <w:hideMark/>
          </w:tcPr>
          <w:p w14:paraId="69B4F86B" w14:textId="77777777" w:rsidR="00B25F26" w:rsidRPr="00B25F26" w:rsidRDefault="00B25F26" w:rsidP="00B25F26">
            <w:pPr>
              <w:rPr>
                <w:bCs/>
                <w:lang w:val="en-IE"/>
              </w:rPr>
            </w:pPr>
            <w:r w:rsidRPr="00B25F26">
              <w:rPr>
                <w:bCs/>
                <w:lang w:val="en-IE"/>
              </w:rPr>
              <w:t>NS</w:t>
            </w:r>
          </w:p>
        </w:tc>
        <w:tc>
          <w:tcPr>
            <w:tcW w:w="1212" w:type="dxa"/>
            <w:vAlign w:val="center"/>
            <w:hideMark/>
          </w:tcPr>
          <w:p w14:paraId="5EAB1E73" w14:textId="77777777" w:rsidR="00B25F26" w:rsidRPr="00B25F26" w:rsidRDefault="00B25F26" w:rsidP="00B25F26">
            <w:pPr>
              <w:rPr>
                <w:bCs/>
                <w:lang w:val="en-IE"/>
              </w:rPr>
            </w:pPr>
            <w:r w:rsidRPr="00B25F26">
              <w:rPr>
                <w:bCs/>
                <w:lang w:val="en-IE"/>
              </w:rPr>
              <w:t>***</w:t>
            </w:r>
          </w:p>
        </w:tc>
      </w:tr>
      <w:tr w:rsidR="00B25F26" w:rsidRPr="00B25F26" w14:paraId="363AD2EF" w14:textId="77777777" w:rsidTr="00EB32A1">
        <w:trPr>
          <w:trHeight w:val="309"/>
          <w:jc w:val="center"/>
        </w:trPr>
        <w:tc>
          <w:tcPr>
            <w:tcW w:w="2694" w:type="dxa"/>
            <w:hideMark/>
          </w:tcPr>
          <w:p w14:paraId="7A29119E" w14:textId="77777777" w:rsidR="00B25F26" w:rsidRPr="00B25F26" w:rsidRDefault="00B25F26" w:rsidP="00B25F26">
            <w:pPr>
              <w:rPr>
                <w:bCs/>
                <w:lang w:val="en-IE"/>
              </w:rPr>
            </w:pPr>
            <w:r w:rsidRPr="00B25F26">
              <w:rPr>
                <w:bCs/>
                <w:lang w:val="en-IE"/>
              </w:rPr>
              <w:t>Grazing period (5 months)</w:t>
            </w:r>
          </w:p>
        </w:tc>
        <w:tc>
          <w:tcPr>
            <w:tcW w:w="850" w:type="dxa"/>
            <w:vAlign w:val="center"/>
            <w:hideMark/>
          </w:tcPr>
          <w:p w14:paraId="1495C1E1" w14:textId="77777777" w:rsidR="00B25F26" w:rsidRPr="00B25F26" w:rsidRDefault="00B25F26" w:rsidP="00B25F26">
            <w:pPr>
              <w:rPr>
                <w:bCs/>
                <w:lang w:val="en-IE"/>
              </w:rPr>
            </w:pPr>
            <w:r w:rsidRPr="00B25F26">
              <w:rPr>
                <w:bCs/>
                <w:lang w:val="en-IE"/>
              </w:rPr>
              <w:t>0.57</w:t>
            </w:r>
          </w:p>
        </w:tc>
        <w:tc>
          <w:tcPr>
            <w:tcW w:w="851" w:type="dxa"/>
            <w:vAlign w:val="center"/>
            <w:hideMark/>
          </w:tcPr>
          <w:p w14:paraId="503B825E" w14:textId="77777777" w:rsidR="00B25F26" w:rsidRPr="00B25F26" w:rsidRDefault="00B25F26" w:rsidP="00B25F26">
            <w:pPr>
              <w:rPr>
                <w:bCs/>
                <w:lang w:val="en-IE"/>
              </w:rPr>
            </w:pPr>
            <w:r w:rsidRPr="00B25F26">
              <w:rPr>
                <w:bCs/>
                <w:lang w:val="en-IE"/>
              </w:rPr>
              <w:t>0.61</w:t>
            </w:r>
          </w:p>
        </w:tc>
        <w:tc>
          <w:tcPr>
            <w:tcW w:w="283" w:type="dxa"/>
            <w:vAlign w:val="center"/>
          </w:tcPr>
          <w:p w14:paraId="160541BE" w14:textId="77777777" w:rsidR="00B25F26" w:rsidRPr="00B25F26" w:rsidRDefault="00B25F26" w:rsidP="00B25F26">
            <w:pPr>
              <w:rPr>
                <w:bCs/>
                <w:lang w:val="en-IE"/>
              </w:rPr>
            </w:pPr>
          </w:p>
        </w:tc>
        <w:tc>
          <w:tcPr>
            <w:tcW w:w="992" w:type="dxa"/>
            <w:vAlign w:val="center"/>
            <w:hideMark/>
          </w:tcPr>
          <w:p w14:paraId="62B7D795" w14:textId="77777777" w:rsidR="00B25F26" w:rsidRPr="00B25F26" w:rsidRDefault="00B25F26" w:rsidP="00B25F26">
            <w:pPr>
              <w:rPr>
                <w:bCs/>
                <w:lang w:val="en-IE"/>
              </w:rPr>
            </w:pPr>
            <w:r w:rsidRPr="00B25F26">
              <w:rPr>
                <w:bCs/>
                <w:lang w:val="en-IE"/>
              </w:rPr>
              <w:t>0.59</w:t>
            </w:r>
          </w:p>
        </w:tc>
        <w:tc>
          <w:tcPr>
            <w:tcW w:w="897" w:type="dxa"/>
            <w:vAlign w:val="center"/>
            <w:hideMark/>
          </w:tcPr>
          <w:p w14:paraId="41D66CDC" w14:textId="77777777" w:rsidR="00B25F26" w:rsidRPr="00B25F26" w:rsidRDefault="00B25F26" w:rsidP="00B25F26">
            <w:pPr>
              <w:rPr>
                <w:bCs/>
                <w:lang w:val="en-IE"/>
              </w:rPr>
            </w:pPr>
            <w:r w:rsidRPr="00B25F26">
              <w:rPr>
                <w:bCs/>
                <w:lang w:val="en-IE"/>
              </w:rPr>
              <w:t>0.59</w:t>
            </w:r>
          </w:p>
        </w:tc>
        <w:tc>
          <w:tcPr>
            <w:tcW w:w="761" w:type="dxa"/>
            <w:vAlign w:val="center"/>
            <w:hideMark/>
          </w:tcPr>
          <w:p w14:paraId="5A1B05D1" w14:textId="77777777" w:rsidR="00B25F26" w:rsidRPr="00B25F26" w:rsidRDefault="00B25F26" w:rsidP="00B25F26">
            <w:pPr>
              <w:rPr>
                <w:bCs/>
                <w:lang w:val="en-IE"/>
              </w:rPr>
            </w:pPr>
            <w:r w:rsidRPr="00B25F26">
              <w:rPr>
                <w:bCs/>
                <w:lang w:val="en-IE"/>
              </w:rPr>
              <w:t>0.030</w:t>
            </w:r>
          </w:p>
        </w:tc>
        <w:tc>
          <w:tcPr>
            <w:tcW w:w="304" w:type="dxa"/>
            <w:vAlign w:val="center"/>
          </w:tcPr>
          <w:p w14:paraId="59BB1138" w14:textId="77777777" w:rsidR="00B25F26" w:rsidRPr="00B25F26" w:rsidRDefault="00B25F26" w:rsidP="00B25F26">
            <w:pPr>
              <w:rPr>
                <w:bCs/>
                <w:lang w:val="en-IE"/>
              </w:rPr>
            </w:pPr>
          </w:p>
        </w:tc>
        <w:tc>
          <w:tcPr>
            <w:tcW w:w="1221" w:type="dxa"/>
            <w:vAlign w:val="center"/>
            <w:hideMark/>
          </w:tcPr>
          <w:p w14:paraId="78907991" w14:textId="77777777" w:rsidR="00B25F26" w:rsidRPr="00B25F26" w:rsidRDefault="00B25F26" w:rsidP="00B25F26">
            <w:pPr>
              <w:rPr>
                <w:bCs/>
                <w:lang w:val="en-IE"/>
              </w:rPr>
            </w:pPr>
            <w:r w:rsidRPr="00B25F26">
              <w:rPr>
                <w:bCs/>
                <w:lang w:val="en-IE"/>
              </w:rPr>
              <w:t>NS</w:t>
            </w:r>
          </w:p>
        </w:tc>
        <w:tc>
          <w:tcPr>
            <w:tcW w:w="1212" w:type="dxa"/>
            <w:vAlign w:val="center"/>
            <w:hideMark/>
          </w:tcPr>
          <w:p w14:paraId="5994A2EA" w14:textId="77777777" w:rsidR="00B25F26" w:rsidRPr="00B25F26" w:rsidRDefault="00B25F26" w:rsidP="00B25F26">
            <w:pPr>
              <w:rPr>
                <w:bCs/>
                <w:lang w:val="en-IE"/>
              </w:rPr>
            </w:pPr>
            <w:r w:rsidRPr="00B25F26">
              <w:rPr>
                <w:bCs/>
                <w:lang w:val="en-IE"/>
              </w:rPr>
              <w:t>NS</w:t>
            </w:r>
          </w:p>
        </w:tc>
      </w:tr>
      <w:tr w:rsidR="00B25F26" w:rsidRPr="00B25F26" w14:paraId="0DE0895D" w14:textId="77777777" w:rsidTr="00EB32A1">
        <w:trPr>
          <w:trHeight w:val="458"/>
          <w:jc w:val="center"/>
        </w:trPr>
        <w:tc>
          <w:tcPr>
            <w:tcW w:w="2694" w:type="dxa"/>
            <w:tcBorders>
              <w:top w:val="nil"/>
              <w:left w:val="nil"/>
              <w:bottom w:val="double" w:sz="4" w:space="0" w:color="auto"/>
              <w:right w:val="nil"/>
            </w:tcBorders>
            <w:hideMark/>
          </w:tcPr>
          <w:p w14:paraId="09BAF232" w14:textId="77777777" w:rsidR="00B25F26" w:rsidRPr="00B25F26" w:rsidRDefault="00B25F26" w:rsidP="00B25F26">
            <w:pPr>
              <w:rPr>
                <w:bCs/>
                <w:lang w:val="en-IE"/>
              </w:rPr>
            </w:pPr>
            <w:r w:rsidRPr="00B25F26">
              <w:rPr>
                <w:bCs/>
                <w:lang w:val="en-IE"/>
              </w:rPr>
              <w:t>Housing to Slaughter (7 months)</w:t>
            </w:r>
          </w:p>
        </w:tc>
        <w:tc>
          <w:tcPr>
            <w:tcW w:w="850" w:type="dxa"/>
            <w:tcBorders>
              <w:top w:val="nil"/>
              <w:left w:val="nil"/>
              <w:bottom w:val="double" w:sz="4" w:space="0" w:color="auto"/>
              <w:right w:val="nil"/>
            </w:tcBorders>
            <w:vAlign w:val="center"/>
            <w:hideMark/>
          </w:tcPr>
          <w:p w14:paraId="63EA13B2" w14:textId="77777777" w:rsidR="00B25F26" w:rsidRPr="00B25F26" w:rsidRDefault="00B25F26" w:rsidP="00B25F26">
            <w:pPr>
              <w:rPr>
                <w:bCs/>
                <w:lang w:val="en-IE"/>
              </w:rPr>
            </w:pPr>
            <w:r w:rsidRPr="00B25F26">
              <w:rPr>
                <w:bCs/>
                <w:lang w:val="en-IE"/>
              </w:rPr>
              <w:t>1.34</w:t>
            </w:r>
          </w:p>
        </w:tc>
        <w:tc>
          <w:tcPr>
            <w:tcW w:w="851" w:type="dxa"/>
            <w:tcBorders>
              <w:top w:val="nil"/>
              <w:left w:val="nil"/>
              <w:bottom w:val="double" w:sz="4" w:space="0" w:color="auto"/>
              <w:right w:val="nil"/>
            </w:tcBorders>
            <w:vAlign w:val="center"/>
            <w:hideMark/>
          </w:tcPr>
          <w:p w14:paraId="260281F6" w14:textId="77777777" w:rsidR="00B25F26" w:rsidRPr="00B25F26" w:rsidRDefault="00B25F26" w:rsidP="00B25F26">
            <w:pPr>
              <w:rPr>
                <w:bCs/>
                <w:lang w:val="en-IE"/>
              </w:rPr>
            </w:pPr>
            <w:r w:rsidRPr="00B25F26">
              <w:rPr>
                <w:bCs/>
                <w:lang w:val="en-IE"/>
              </w:rPr>
              <w:t>1.32</w:t>
            </w:r>
          </w:p>
        </w:tc>
        <w:tc>
          <w:tcPr>
            <w:tcW w:w="283" w:type="dxa"/>
            <w:tcBorders>
              <w:top w:val="nil"/>
              <w:left w:val="nil"/>
              <w:bottom w:val="double" w:sz="4" w:space="0" w:color="auto"/>
              <w:right w:val="nil"/>
            </w:tcBorders>
            <w:vAlign w:val="center"/>
          </w:tcPr>
          <w:p w14:paraId="49407C3B" w14:textId="77777777" w:rsidR="00B25F26" w:rsidRPr="00B25F26" w:rsidRDefault="00B25F26" w:rsidP="00B25F26">
            <w:pPr>
              <w:rPr>
                <w:bCs/>
                <w:lang w:val="en-IE"/>
              </w:rPr>
            </w:pPr>
          </w:p>
        </w:tc>
        <w:tc>
          <w:tcPr>
            <w:tcW w:w="992" w:type="dxa"/>
            <w:tcBorders>
              <w:top w:val="nil"/>
              <w:left w:val="nil"/>
              <w:bottom w:val="double" w:sz="4" w:space="0" w:color="auto"/>
              <w:right w:val="nil"/>
            </w:tcBorders>
            <w:vAlign w:val="center"/>
            <w:hideMark/>
          </w:tcPr>
          <w:p w14:paraId="49EAB04F" w14:textId="77777777" w:rsidR="00B25F26" w:rsidRPr="00B25F26" w:rsidRDefault="00B25F26" w:rsidP="00B25F26">
            <w:pPr>
              <w:rPr>
                <w:bCs/>
                <w:lang w:val="en-IE"/>
              </w:rPr>
            </w:pPr>
            <w:r w:rsidRPr="00B25F26">
              <w:rPr>
                <w:bCs/>
                <w:lang w:val="en-IE"/>
              </w:rPr>
              <w:t>1.32</w:t>
            </w:r>
          </w:p>
        </w:tc>
        <w:tc>
          <w:tcPr>
            <w:tcW w:w="897" w:type="dxa"/>
            <w:tcBorders>
              <w:top w:val="nil"/>
              <w:left w:val="nil"/>
              <w:bottom w:val="double" w:sz="4" w:space="0" w:color="auto"/>
              <w:right w:val="nil"/>
            </w:tcBorders>
            <w:vAlign w:val="center"/>
            <w:hideMark/>
          </w:tcPr>
          <w:p w14:paraId="4B7AAE79" w14:textId="77777777" w:rsidR="00B25F26" w:rsidRPr="00B25F26" w:rsidRDefault="00B25F26" w:rsidP="00B25F26">
            <w:pPr>
              <w:rPr>
                <w:bCs/>
                <w:lang w:val="en-IE"/>
              </w:rPr>
            </w:pPr>
            <w:r w:rsidRPr="00B25F26">
              <w:rPr>
                <w:bCs/>
                <w:lang w:val="en-IE"/>
              </w:rPr>
              <w:t>1.35</w:t>
            </w:r>
          </w:p>
        </w:tc>
        <w:tc>
          <w:tcPr>
            <w:tcW w:w="761" w:type="dxa"/>
            <w:tcBorders>
              <w:top w:val="nil"/>
              <w:left w:val="nil"/>
              <w:bottom w:val="double" w:sz="4" w:space="0" w:color="auto"/>
              <w:right w:val="nil"/>
            </w:tcBorders>
            <w:vAlign w:val="center"/>
            <w:hideMark/>
          </w:tcPr>
          <w:p w14:paraId="3C8447C0" w14:textId="77777777" w:rsidR="00B25F26" w:rsidRPr="00B25F26" w:rsidRDefault="00B25F26" w:rsidP="00B25F26">
            <w:pPr>
              <w:rPr>
                <w:bCs/>
                <w:lang w:val="en-IE"/>
              </w:rPr>
            </w:pPr>
            <w:r w:rsidRPr="00B25F26">
              <w:rPr>
                <w:bCs/>
                <w:lang w:val="en-IE"/>
              </w:rPr>
              <w:t>0.035</w:t>
            </w:r>
          </w:p>
        </w:tc>
        <w:tc>
          <w:tcPr>
            <w:tcW w:w="304" w:type="dxa"/>
            <w:tcBorders>
              <w:top w:val="nil"/>
              <w:left w:val="nil"/>
              <w:bottom w:val="double" w:sz="4" w:space="0" w:color="auto"/>
              <w:right w:val="nil"/>
            </w:tcBorders>
            <w:vAlign w:val="center"/>
          </w:tcPr>
          <w:p w14:paraId="39C16AE4" w14:textId="77777777" w:rsidR="00B25F26" w:rsidRPr="00B25F26" w:rsidRDefault="00B25F26" w:rsidP="00B25F26">
            <w:pPr>
              <w:rPr>
                <w:bCs/>
                <w:lang w:val="en-IE"/>
              </w:rPr>
            </w:pPr>
          </w:p>
        </w:tc>
        <w:tc>
          <w:tcPr>
            <w:tcW w:w="1221" w:type="dxa"/>
            <w:tcBorders>
              <w:top w:val="nil"/>
              <w:left w:val="nil"/>
              <w:bottom w:val="double" w:sz="4" w:space="0" w:color="auto"/>
              <w:right w:val="nil"/>
            </w:tcBorders>
            <w:vAlign w:val="center"/>
            <w:hideMark/>
          </w:tcPr>
          <w:p w14:paraId="4C2E7402" w14:textId="77777777" w:rsidR="00B25F26" w:rsidRPr="00B25F26" w:rsidRDefault="00B25F26" w:rsidP="00B25F26">
            <w:pPr>
              <w:rPr>
                <w:bCs/>
                <w:lang w:val="en-IE"/>
              </w:rPr>
            </w:pPr>
            <w:r w:rsidRPr="00B25F26">
              <w:rPr>
                <w:bCs/>
                <w:lang w:val="en-IE"/>
              </w:rPr>
              <w:t>NS</w:t>
            </w:r>
          </w:p>
        </w:tc>
        <w:tc>
          <w:tcPr>
            <w:tcW w:w="1212" w:type="dxa"/>
            <w:tcBorders>
              <w:top w:val="nil"/>
              <w:left w:val="nil"/>
              <w:bottom w:val="double" w:sz="4" w:space="0" w:color="auto"/>
              <w:right w:val="nil"/>
            </w:tcBorders>
            <w:vAlign w:val="center"/>
            <w:hideMark/>
          </w:tcPr>
          <w:p w14:paraId="2D255FFF" w14:textId="77777777" w:rsidR="00B25F26" w:rsidRPr="00B25F26" w:rsidRDefault="00B25F26" w:rsidP="00B25F26">
            <w:pPr>
              <w:rPr>
                <w:bCs/>
                <w:lang w:val="en-IE"/>
              </w:rPr>
            </w:pPr>
            <w:r w:rsidRPr="00B25F26">
              <w:rPr>
                <w:bCs/>
                <w:lang w:val="en-IE"/>
              </w:rPr>
              <w:t>NS</w:t>
            </w:r>
          </w:p>
        </w:tc>
      </w:tr>
    </w:tbl>
    <w:p w14:paraId="3D5C9672" w14:textId="408A9F9A" w:rsidR="007B30E3" w:rsidRPr="004C3DF7" w:rsidRDefault="00B25F26">
      <w:pPr>
        <w:rPr>
          <w:bCs/>
          <w:lang w:val="en-US"/>
        </w:rPr>
      </w:pPr>
      <w:r w:rsidRPr="00B25F26">
        <w:rPr>
          <w:bCs/>
          <w:lang w:val="en-IE"/>
        </w:rPr>
        <w:t>*Non-significant (P&gt;0.05) pre-weaning x post-weaning diet interaction was observed. *, ** and *** indicate P &lt; 0.05, &lt; 0.01 and &lt; 0.001, respectively</w:t>
      </w:r>
    </w:p>
    <w:p w14:paraId="41A3C7EB" w14:textId="5DA7DFD5" w:rsidR="007B30E3" w:rsidRPr="004C3DF7" w:rsidRDefault="007B30E3">
      <w:pPr>
        <w:rPr>
          <w:bCs/>
          <w:lang w:val="en-IE"/>
        </w:rPr>
      </w:pPr>
      <w:r>
        <w:rPr>
          <w:b/>
          <w:bCs/>
          <w:lang w:val="en-US"/>
        </w:rPr>
        <w:t>Conclusions</w:t>
      </w:r>
      <w:r w:rsidR="00B25F26">
        <w:rPr>
          <w:b/>
          <w:bCs/>
          <w:lang w:val="en-US"/>
        </w:rPr>
        <w:t xml:space="preserve"> </w:t>
      </w:r>
      <w:r w:rsidR="002F44B7">
        <w:rPr>
          <w:bCs/>
          <w:lang w:val="en-US"/>
        </w:rPr>
        <w:t>Pre-</w:t>
      </w:r>
      <w:r w:rsidR="002F44B7" w:rsidRPr="002F44B7">
        <w:rPr>
          <w:bCs/>
          <w:lang w:val="en-US"/>
        </w:rPr>
        <w:t>weaning</w:t>
      </w:r>
      <w:r w:rsidR="002F44B7">
        <w:rPr>
          <w:b/>
          <w:bCs/>
          <w:lang w:val="en-US"/>
        </w:rPr>
        <w:t xml:space="preserve"> </w:t>
      </w:r>
      <w:r w:rsidR="002F44B7" w:rsidRPr="002F44B7">
        <w:rPr>
          <w:bCs/>
          <w:lang w:val="en-US"/>
        </w:rPr>
        <w:t>plane of nutrition had</w:t>
      </w:r>
      <w:r w:rsidR="002F44B7">
        <w:rPr>
          <w:bCs/>
          <w:lang w:val="en-US"/>
        </w:rPr>
        <w:t xml:space="preserve"> impacts on bodyweight only to</w:t>
      </w:r>
      <w:r w:rsidR="002F44B7" w:rsidRPr="002F44B7">
        <w:rPr>
          <w:bCs/>
          <w:lang w:val="en-US"/>
        </w:rPr>
        <w:t xml:space="preserve"> </w:t>
      </w:r>
      <w:r w:rsidR="002F44B7">
        <w:rPr>
          <w:bCs/>
          <w:lang w:val="en-US"/>
        </w:rPr>
        <w:t>9 months,</w:t>
      </w:r>
      <w:r w:rsidR="002F44B7" w:rsidRPr="002F44B7">
        <w:rPr>
          <w:bCs/>
          <w:lang w:val="en-US"/>
        </w:rPr>
        <w:t xml:space="preserve"> with no impact on carcass traits</w:t>
      </w:r>
      <w:r w:rsidR="002F44B7" w:rsidRPr="00617C5C">
        <w:rPr>
          <w:bCs/>
          <w:lang w:val="en-US"/>
        </w:rPr>
        <w:t xml:space="preserve">. </w:t>
      </w:r>
      <w:r w:rsidR="00617C5C" w:rsidRPr="00617C5C">
        <w:rPr>
          <w:bCs/>
          <w:lang w:val="en-US"/>
        </w:rPr>
        <w:t>However,</w:t>
      </w:r>
      <w:r w:rsidR="00617C5C">
        <w:rPr>
          <w:b/>
          <w:bCs/>
          <w:lang w:val="en-US"/>
        </w:rPr>
        <w:t xml:space="preserve"> o</w:t>
      </w:r>
      <w:r w:rsidR="00B25F26" w:rsidRPr="00B25F26">
        <w:rPr>
          <w:bCs/>
        </w:rPr>
        <w:t>fferi</w:t>
      </w:r>
      <w:bookmarkStart w:id="0" w:name="_GoBack"/>
      <w:bookmarkEnd w:id="0"/>
      <w:r w:rsidR="00B25F26" w:rsidRPr="00B25F26">
        <w:rPr>
          <w:bCs/>
        </w:rPr>
        <w:t xml:space="preserve">ng dairy-bred male calves a high plane of nutrition for four weeks post-weaning, irrespective of pre-weaning plane of nutrition, led to </w:t>
      </w:r>
      <w:r w:rsidR="00B25F26" w:rsidRPr="00B25F26">
        <w:rPr>
          <w:bCs/>
          <w:lang w:val="en-IE"/>
        </w:rPr>
        <w:t xml:space="preserve">enhanced bodyweight gain which was subsequently retained to slaughter at 16 months of age. This also translated to higher carcass weight at slaughter in these animals. There was no evidence of compensatory gain in animals offered a moderate pre-weaning plane of nutrition, followed by a high plane of nutrition post-weaning. These findings highlight the vital role of optimising post-weaning nutrition to enhance overall lifetime growth and feed efficiency. Research is needed to further refine post-weaning nutritional strategies and evaluate their impact on the economic and environmental efficiency of sustainable pasture-based dairy calf-to-beef production systems. </w:t>
      </w:r>
    </w:p>
    <w:p w14:paraId="7DD6F711" w14:textId="4E9031FB" w:rsidR="00B25F26" w:rsidRPr="004C3DF7" w:rsidRDefault="007B30E3">
      <w:pPr>
        <w:rPr>
          <w:bCs/>
          <w:lang w:val="en-US"/>
        </w:rPr>
      </w:pPr>
      <w:r>
        <w:rPr>
          <w:b/>
          <w:bCs/>
          <w:lang w:val="en-US"/>
        </w:rPr>
        <w:t>References</w:t>
      </w:r>
      <w:r w:rsidR="00B25F26">
        <w:rPr>
          <w:b/>
          <w:bCs/>
          <w:lang w:val="en-US"/>
        </w:rPr>
        <w:t xml:space="preserve"> </w:t>
      </w:r>
      <w:r w:rsidR="004C3DF7" w:rsidRPr="004C3DF7">
        <w:rPr>
          <w:bCs/>
          <w:lang w:val="en-US"/>
        </w:rPr>
        <w:t>Kenny, D., C. P. Murphy, R. D. Sleator, M. M. Judge, R. D. Evans, and D. P. Berry. 2020. Animal-level factors associated with the achievement of desirable specifications in Irish beef carcasses graded using the EUROP classification system. J</w:t>
      </w:r>
      <w:r w:rsidR="004C3DF7">
        <w:rPr>
          <w:bCs/>
          <w:lang w:val="en-US"/>
        </w:rPr>
        <w:t>ournal of</w:t>
      </w:r>
      <w:r w:rsidR="004C3DF7" w:rsidRPr="004C3DF7">
        <w:rPr>
          <w:bCs/>
          <w:lang w:val="en-US"/>
        </w:rPr>
        <w:t xml:space="preserve"> Anim</w:t>
      </w:r>
      <w:r w:rsidR="004C3DF7">
        <w:rPr>
          <w:bCs/>
          <w:lang w:val="en-US"/>
        </w:rPr>
        <w:t>al</w:t>
      </w:r>
      <w:r w:rsidR="004C3DF7" w:rsidRPr="004C3DF7">
        <w:rPr>
          <w:bCs/>
          <w:lang w:val="en-US"/>
        </w:rPr>
        <w:t xml:space="preserve"> Sci</w:t>
      </w:r>
      <w:r w:rsidR="004C3DF7">
        <w:rPr>
          <w:bCs/>
          <w:lang w:val="en-US"/>
        </w:rPr>
        <w:t>ence</w:t>
      </w:r>
      <w:r w:rsidR="004C3DF7" w:rsidRPr="004C3DF7">
        <w:rPr>
          <w:bCs/>
          <w:lang w:val="en-US"/>
        </w:rPr>
        <w:t xml:space="preserve"> 98(7)</w:t>
      </w:r>
      <w:r w:rsidR="004C3DF7">
        <w:rPr>
          <w:bCs/>
          <w:lang w:val="en-US"/>
        </w:rPr>
        <w:t xml:space="preserve"> </w:t>
      </w:r>
      <w:r w:rsidR="004C3DF7" w:rsidRPr="004C3DF7">
        <w:rPr>
          <w:bCs/>
          <w:lang w:val="en-US"/>
        </w:rPr>
        <w:t>doi: 10.1093/jas/skaa191</w:t>
      </w:r>
    </w:p>
    <w:sectPr w:rsidR="00B25F26" w:rsidRPr="004C3DF7" w:rsidSect="004C3DF7">
      <w:pgSz w:w="11906" w:h="16838"/>
      <w:pgMar w:top="993"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C046F"/>
    <w:multiLevelType w:val="hybridMultilevel"/>
    <w:tmpl w:val="687E42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 Animal Science&lt;/Style&gt;&lt;LeftDelim&gt;{&lt;/LeftDelim&gt;&lt;RightDelim&gt;}&lt;/RightDelim&gt;&lt;FontName&gt;Aptos&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tprdpdxr7vvpfjef5ax5paf1p2vpdxfvvepz&quot;&gt;All Papers Copy&lt;record-ids&gt;&lt;item&gt;375&lt;/item&gt;&lt;/record-ids&gt;&lt;/item&gt;&lt;/Libraries&gt;"/>
  </w:docVars>
  <w:rsids>
    <w:rsidRoot w:val="007B30E3"/>
    <w:rsid w:val="002F44B7"/>
    <w:rsid w:val="00383DCD"/>
    <w:rsid w:val="00397193"/>
    <w:rsid w:val="004C3DF7"/>
    <w:rsid w:val="006021CB"/>
    <w:rsid w:val="00617C5C"/>
    <w:rsid w:val="00625B14"/>
    <w:rsid w:val="007B30E3"/>
    <w:rsid w:val="00933E8C"/>
    <w:rsid w:val="00B25F26"/>
    <w:rsid w:val="00B52E4E"/>
    <w:rsid w:val="00C53AE2"/>
    <w:rsid w:val="00C95030"/>
    <w:rsid w:val="00DD21B5"/>
    <w:rsid w:val="00E27E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83A22"/>
  <w15:chartTrackingRefBased/>
  <w15:docId w15:val="{071DFB90-475F-4F62-BAC5-508A4A0B2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B30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B30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B30E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B30E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B30E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B30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30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30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30E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30E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B30E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B30E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B30E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B30E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B30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30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30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30E3"/>
    <w:rPr>
      <w:rFonts w:eastAsiaTheme="majorEastAsia" w:cstheme="majorBidi"/>
      <w:color w:val="272727" w:themeColor="text1" w:themeTint="D8"/>
    </w:rPr>
  </w:style>
  <w:style w:type="paragraph" w:styleId="Title">
    <w:name w:val="Title"/>
    <w:basedOn w:val="Normal"/>
    <w:next w:val="Normal"/>
    <w:link w:val="TitleChar"/>
    <w:uiPriority w:val="10"/>
    <w:qFormat/>
    <w:rsid w:val="007B30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30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30E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30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30E3"/>
    <w:pPr>
      <w:spacing w:before="160"/>
      <w:jc w:val="center"/>
    </w:pPr>
    <w:rPr>
      <w:i/>
      <w:iCs/>
      <w:color w:val="404040" w:themeColor="text1" w:themeTint="BF"/>
    </w:rPr>
  </w:style>
  <w:style w:type="character" w:customStyle="1" w:styleId="QuoteChar">
    <w:name w:val="Quote Char"/>
    <w:basedOn w:val="DefaultParagraphFont"/>
    <w:link w:val="Quote"/>
    <w:uiPriority w:val="29"/>
    <w:rsid w:val="007B30E3"/>
    <w:rPr>
      <w:i/>
      <w:iCs/>
      <w:color w:val="404040" w:themeColor="text1" w:themeTint="BF"/>
    </w:rPr>
  </w:style>
  <w:style w:type="paragraph" w:styleId="ListParagraph">
    <w:name w:val="List Paragraph"/>
    <w:basedOn w:val="Normal"/>
    <w:uiPriority w:val="34"/>
    <w:qFormat/>
    <w:rsid w:val="007B30E3"/>
    <w:pPr>
      <w:ind w:left="720"/>
      <w:contextualSpacing/>
    </w:pPr>
  </w:style>
  <w:style w:type="character" w:styleId="IntenseEmphasis">
    <w:name w:val="Intense Emphasis"/>
    <w:basedOn w:val="DefaultParagraphFont"/>
    <w:uiPriority w:val="21"/>
    <w:qFormat/>
    <w:rsid w:val="007B30E3"/>
    <w:rPr>
      <w:i/>
      <w:iCs/>
      <w:color w:val="0F4761" w:themeColor="accent1" w:themeShade="BF"/>
    </w:rPr>
  </w:style>
  <w:style w:type="paragraph" w:styleId="IntenseQuote">
    <w:name w:val="Intense Quote"/>
    <w:basedOn w:val="Normal"/>
    <w:next w:val="Normal"/>
    <w:link w:val="IntenseQuoteChar"/>
    <w:uiPriority w:val="30"/>
    <w:qFormat/>
    <w:rsid w:val="007B30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B30E3"/>
    <w:rPr>
      <w:i/>
      <w:iCs/>
      <w:color w:val="0F4761" w:themeColor="accent1" w:themeShade="BF"/>
    </w:rPr>
  </w:style>
  <w:style w:type="character" w:styleId="IntenseReference">
    <w:name w:val="Intense Reference"/>
    <w:basedOn w:val="DefaultParagraphFont"/>
    <w:uiPriority w:val="32"/>
    <w:qFormat/>
    <w:rsid w:val="007B30E3"/>
    <w:rPr>
      <w:b/>
      <w:bCs/>
      <w:smallCaps/>
      <w:color w:val="0F4761" w:themeColor="accent1" w:themeShade="BF"/>
      <w:spacing w:val="5"/>
    </w:rPr>
  </w:style>
  <w:style w:type="paragraph" w:customStyle="1" w:styleId="EndNoteBibliographyTitle">
    <w:name w:val="EndNote Bibliography Title"/>
    <w:basedOn w:val="Normal"/>
    <w:link w:val="EndNoteBibliographyTitleChar"/>
    <w:rsid w:val="00B25F26"/>
    <w:pPr>
      <w:spacing w:after="0"/>
      <w:jc w:val="center"/>
    </w:pPr>
    <w:rPr>
      <w:rFonts w:ascii="Aptos" w:hAnsi="Aptos"/>
      <w:noProof/>
      <w:lang w:val="en-US"/>
    </w:rPr>
  </w:style>
  <w:style w:type="character" w:customStyle="1" w:styleId="EndNoteBibliographyTitleChar">
    <w:name w:val="EndNote Bibliography Title Char"/>
    <w:basedOn w:val="DefaultParagraphFont"/>
    <w:link w:val="EndNoteBibliographyTitle"/>
    <w:rsid w:val="00B25F26"/>
    <w:rPr>
      <w:rFonts w:ascii="Aptos" w:hAnsi="Aptos"/>
      <w:noProof/>
      <w:lang w:val="en-US"/>
    </w:rPr>
  </w:style>
  <w:style w:type="paragraph" w:customStyle="1" w:styleId="EndNoteBibliography">
    <w:name w:val="EndNote Bibliography"/>
    <w:basedOn w:val="Normal"/>
    <w:link w:val="EndNoteBibliographyChar"/>
    <w:rsid w:val="00B25F26"/>
    <w:pPr>
      <w:spacing w:line="240" w:lineRule="auto"/>
    </w:pPr>
    <w:rPr>
      <w:rFonts w:ascii="Aptos" w:hAnsi="Aptos"/>
      <w:noProof/>
      <w:lang w:val="en-US"/>
    </w:rPr>
  </w:style>
  <w:style w:type="character" w:customStyle="1" w:styleId="EndNoteBibliographyChar">
    <w:name w:val="EndNote Bibliography Char"/>
    <w:basedOn w:val="DefaultParagraphFont"/>
    <w:link w:val="EndNoteBibliography"/>
    <w:rsid w:val="00B25F26"/>
    <w:rPr>
      <w:rFonts w:ascii="Aptos" w:hAnsi="Aptos"/>
      <w:noProof/>
      <w:lang w:val="en-US"/>
    </w:rPr>
  </w:style>
  <w:style w:type="character" w:styleId="PlaceholderText">
    <w:name w:val="Placeholder Text"/>
    <w:basedOn w:val="DefaultParagraphFont"/>
    <w:uiPriority w:val="99"/>
    <w:semiHidden/>
    <w:rsid w:val="00B25F26"/>
    <w:rPr>
      <w:color w:val="808080"/>
    </w:rPr>
  </w:style>
  <w:style w:type="character" w:styleId="CommentReference">
    <w:name w:val="annotation reference"/>
    <w:basedOn w:val="DefaultParagraphFont"/>
    <w:uiPriority w:val="99"/>
    <w:semiHidden/>
    <w:unhideWhenUsed/>
    <w:rsid w:val="006021CB"/>
    <w:rPr>
      <w:sz w:val="16"/>
      <w:szCs w:val="16"/>
    </w:rPr>
  </w:style>
  <w:style w:type="paragraph" w:styleId="CommentText">
    <w:name w:val="annotation text"/>
    <w:basedOn w:val="Normal"/>
    <w:link w:val="CommentTextChar"/>
    <w:uiPriority w:val="99"/>
    <w:semiHidden/>
    <w:unhideWhenUsed/>
    <w:rsid w:val="006021CB"/>
    <w:pPr>
      <w:spacing w:line="240" w:lineRule="auto"/>
    </w:pPr>
    <w:rPr>
      <w:sz w:val="20"/>
      <w:szCs w:val="20"/>
    </w:rPr>
  </w:style>
  <w:style w:type="character" w:customStyle="1" w:styleId="CommentTextChar">
    <w:name w:val="Comment Text Char"/>
    <w:basedOn w:val="DefaultParagraphFont"/>
    <w:link w:val="CommentText"/>
    <w:uiPriority w:val="99"/>
    <w:semiHidden/>
    <w:rsid w:val="006021CB"/>
    <w:rPr>
      <w:sz w:val="20"/>
      <w:szCs w:val="20"/>
    </w:rPr>
  </w:style>
  <w:style w:type="paragraph" w:styleId="CommentSubject">
    <w:name w:val="annotation subject"/>
    <w:basedOn w:val="CommentText"/>
    <w:next w:val="CommentText"/>
    <w:link w:val="CommentSubjectChar"/>
    <w:uiPriority w:val="99"/>
    <w:semiHidden/>
    <w:unhideWhenUsed/>
    <w:rsid w:val="006021CB"/>
    <w:rPr>
      <w:b/>
      <w:bCs/>
    </w:rPr>
  </w:style>
  <w:style w:type="character" w:customStyle="1" w:styleId="CommentSubjectChar">
    <w:name w:val="Comment Subject Char"/>
    <w:basedOn w:val="CommentTextChar"/>
    <w:link w:val="CommentSubject"/>
    <w:uiPriority w:val="99"/>
    <w:semiHidden/>
    <w:rsid w:val="006021CB"/>
    <w:rPr>
      <w:b/>
      <w:bCs/>
      <w:sz w:val="20"/>
      <w:szCs w:val="20"/>
    </w:rPr>
  </w:style>
  <w:style w:type="paragraph" w:styleId="BalloonText">
    <w:name w:val="Balloon Text"/>
    <w:basedOn w:val="Normal"/>
    <w:link w:val="BalloonTextChar"/>
    <w:uiPriority w:val="99"/>
    <w:semiHidden/>
    <w:unhideWhenUsed/>
    <w:rsid w:val="006021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21C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63d7928-de39-40eb-aaef-3504eb7eef23">
      <Terms xmlns="http://schemas.microsoft.com/office/infopath/2007/PartnerControls"/>
    </lcf76f155ced4ddcb4097134ff3c332f>
    <TaxCatchAll xmlns="a6522d93-ccde-437d-a793-b289ee708a2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0F3A9E8D51AC34D88BEBDC6697AB1BA" ma:contentTypeVersion="15" ma:contentTypeDescription="Create a new document." ma:contentTypeScope="" ma:versionID="3f40f4d58680edde78558b4b40054ade">
  <xsd:schema xmlns:xsd="http://www.w3.org/2001/XMLSchema" xmlns:xs="http://www.w3.org/2001/XMLSchema" xmlns:p="http://schemas.microsoft.com/office/2006/metadata/properties" xmlns:ns2="563d7928-de39-40eb-aaef-3504eb7eef23" xmlns:ns3="a6522d93-ccde-437d-a793-b289ee708a2f" targetNamespace="http://schemas.microsoft.com/office/2006/metadata/properties" ma:root="true" ma:fieldsID="1bcd67b4f1738204f3ee03097d2407d4" ns2:_="" ns3:_="">
    <xsd:import namespace="563d7928-de39-40eb-aaef-3504eb7eef23"/>
    <xsd:import namespace="a6522d93-ccde-437d-a793-b289ee708a2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3d7928-de39-40eb-aaef-3504eb7eef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2090d37-0cf0-4191-99ae-e11c03e71b3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522d93-ccde-437d-a793-b289ee708a2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58787e5-1a83-4099-8018-dcd51ec2f4c3}" ma:internalName="TaxCatchAll" ma:showField="CatchAllData" ma:web="a6522d93-ccde-437d-a793-b289ee708a2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C1E998D-96EF-4A0A-B53A-07C2AB504375}">
  <ds:schemaRefs>
    <ds:schemaRef ds:uri="http://purl.org/dc/elements/1.1/"/>
    <ds:schemaRef ds:uri="http://purl.org/dc/dcmitype/"/>
    <ds:schemaRef ds:uri="http://schemas.microsoft.com/office/2006/documentManagement/types"/>
    <ds:schemaRef ds:uri="http://schemas.microsoft.com/office/2006/metadata/properties"/>
    <ds:schemaRef ds:uri="http://purl.org/dc/terms/"/>
    <ds:schemaRef ds:uri="563d7928-de39-40eb-aaef-3504eb7eef23"/>
    <ds:schemaRef ds:uri="http://schemas.openxmlformats.org/package/2006/metadata/core-properties"/>
    <ds:schemaRef ds:uri="http://www.w3.org/XML/1998/namespace"/>
    <ds:schemaRef ds:uri="http://schemas.microsoft.com/office/infopath/2007/PartnerControls"/>
    <ds:schemaRef ds:uri="a6522d93-ccde-437d-a793-b289ee708a2f"/>
  </ds:schemaRefs>
</ds:datastoreItem>
</file>

<file path=customXml/itemProps2.xml><?xml version="1.0" encoding="utf-8"?>
<ds:datastoreItem xmlns:ds="http://schemas.openxmlformats.org/officeDocument/2006/customXml" ds:itemID="{8CC27604-FE8B-4FDB-9D44-B06F4B2D56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3d7928-de39-40eb-aaef-3504eb7eef23"/>
    <ds:schemaRef ds:uri="a6522d93-ccde-437d-a793-b289ee708a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43D4927-B381-4278-8881-89C86CBE036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925</Words>
  <Characters>5279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Neil</dc:creator>
  <cp:keywords/>
  <dc:description/>
  <cp:lastModifiedBy>Jennifer Abbott (Walsh Scholar)</cp:lastModifiedBy>
  <cp:revision>3</cp:revision>
  <dcterms:created xsi:type="dcterms:W3CDTF">2025-01-31T15:07:00Z</dcterms:created>
  <dcterms:modified xsi:type="dcterms:W3CDTF">2025-02-11T16:36:00Z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0x01010050F3A9E8D51AC34D88BEBDC6697AB1BA</vt:lpwstr>
  </property>
</Properties>
</file>