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6656" w14:textId="53EC2B10" w:rsidR="00085FC9" w:rsidRDefault="001B4F41" w:rsidP="00E0461C">
      <w:pPr>
        <w:jc w:val="center"/>
        <w:rPr>
          <w:b/>
          <w:sz w:val="24"/>
        </w:rPr>
      </w:pPr>
      <w:r w:rsidRPr="001B4F41">
        <w:rPr>
          <w:b/>
          <w:sz w:val="24"/>
        </w:rPr>
        <w:t>Neutral Density Measurement in High-Temperature Core Plasmas by High-Dynamic-Range Spectroscopy</w:t>
      </w:r>
      <w:r w:rsidR="00DF3170">
        <w:rPr>
          <w:b/>
          <w:sz w:val="24"/>
        </w:rPr>
        <w:t xml:space="preserve"> </w:t>
      </w:r>
    </w:p>
    <w:p w14:paraId="473DCB73" w14:textId="77777777" w:rsidR="00A8175E" w:rsidRPr="00663F85" w:rsidRDefault="00A8175E" w:rsidP="00E0461C">
      <w:pPr>
        <w:jc w:val="center"/>
        <w:rPr>
          <w:b/>
          <w:sz w:val="24"/>
        </w:rPr>
      </w:pPr>
    </w:p>
    <w:p w14:paraId="3DF5C217" w14:textId="7437E18D" w:rsidR="00085FC9" w:rsidRPr="00085FC9" w:rsidRDefault="00892DA4" w:rsidP="00962C3C">
      <w:pPr>
        <w:jc w:val="center"/>
        <w:rPr>
          <w:sz w:val="24"/>
        </w:rPr>
      </w:pPr>
      <w:r>
        <w:rPr>
          <w:sz w:val="24"/>
        </w:rPr>
        <w:t>K</w:t>
      </w:r>
      <w:r w:rsidR="00871436">
        <w:rPr>
          <w:sz w:val="24"/>
        </w:rPr>
        <w:t>.</w:t>
      </w:r>
      <w:r>
        <w:rPr>
          <w:sz w:val="24"/>
        </w:rPr>
        <w:t xml:space="preserve"> Fujii</w:t>
      </w:r>
      <w:r w:rsidR="00871436" w:rsidRPr="00871436">
        <w:rPr>
          <w:sz w:val="24"/>
          <w:vertAlign w:val="superscript"/>
        </w:rPr>
        <w:t>1</w:t>
      </w:r>
      <w:r w:rsidR="00871436">
        <w:rPr>
          <w:sz w:val="24"/>
        </w:rPr>
        <w:t xml:space="preserve">, </w:t>
      </w:r>
      <w:r w:rsidR="0051608C">
        <w:rPr>
          <w:sz w:val="24"/>
        </w:rPr>
        <w:t>M</w:t>
      </w:r>
      <w:r w:rsidR="003B5033">
        <w:rPr>
          <w:sz w:val="24"/>
        </w:rPr>
        <w:t xml:space="preserve">. </w:t>
      </w:r>
      <w:r w:rsidR="00E72EBA">
        <w:rPr>
          <w:sz w:val="24"/>
        </w:rPr>
        <w:t>Hasuo</w:t>
      </w:r>
      <w:r w:rsidR="0051608C">
        <w:rPr>
          <w:sz w:val="24"/>
          <w:vertAlign w:val="superscript"/>
        </w:rPr>
        <w:t>2</w:t>
      </w:r>
      <w:r w:rsidR="003B5033">
        <w:rPr>
          <w:sz w:val="24"/>
        </w:rPr>
        <w:t xml:space="preserve">, </w:t>
      </w:r>
      <w:r w:rsidR="0051608C">
        <w:rPr>
          <w:sz w:val="24"/>
        </w:rPr>
        <w:t>M</w:t>
      </w:r>
      <w:r w:rsidR="00B659BB">
        <w:rPr>
          <w:sz w:val="24"/>
        </w:rPr>
        <w:t xml:space="preserve">. </w:t>
      </w:r>
      <w:r w:rsidR="00E72EBA">
        <w:rPr>
          <w:sz w:val="24"/>
        </w:rPr>
        <w:t>Goto</w:t>
      </w:r>
      <w:r w:rsidR="001E0D1D">
        <w:rPr>
          <w:sz w:val="24"/>
          <w:vertAlign w:val="superscript"/>
        </w:rPr>
        <w:t>3</w:t>
      </w:r>
      <w:r w:rsidR="00A965C5">
        <w:rPr>
          <w:sz w:val="24"/>
          <w:vertAlign w:val="superscript"/>
        </w:rPr>
        <w:t>,4</w:t>
      </w:r>
      <w:r w:rsidR="003B5033">
        <w:rPr>
          <w:sz w:val="24"/>
        </w:rPr>
        <w:t xml:space="preserve">, </w:t>
      </w:r>
      <w:r w:rsidR="00067EFD">
        <w:rPr>
          <w:sz w:val="24"/>
        </w:rPr>
        <w:t>B. Lomanowski</w:t>
      </w:r>
      <w:r w:rsidR="00067EFD" w:rsidRPr="00067EFD">
        <w:rPr>
          <w:sz w:val="24"/>
          <w:vertAlign w:val="superscript"/>
        </w:rPr>
        <w:t>1</w:t>
      </w:r>
      <w:r w:rsidR="00067EFD">
        <w:rPr>
          <w:sz w:val="24"/>
        </w:rPr>
        <w:t xml:space="preserve"> </w:t>
      </w:r>
      <w:r w:rsidR="00106F40">
        <w:rPr>
          <w:sz w:val="24"/>
        </w:rPr>
        <w:t xml:space="preserve">and </w:t>
      </w:r>
      <w:r w:rsidR="00AB4EB9">
        <w:rPr>
          <w:sz w:val="24"/>
        </w:rPr>
        <w:t>O</w:t>
      </w:r>
      <w:r w:rsidR="001E0D1D">
        <w:rPr>
          <w:sz w:val="24"/>
        </w:rPr>
        <w:t xml:space="preserve">. </w:t>
      </w:r>
      <w:r w:rsidR="00AB4EB9">
        <w:rPr>
          <w:sz w:val="24"/>
        </w:rPr>
        <w:t>Ford</w:t>
      </w:r>
      <w:r w:rsidR="00AA41A5">
        <w:rPr>
          <w:rFonts w:ascii="MS Mincho" w:eastAsia="MS Mincho" w:hAnsi="MS Mincho" w:cs="MS Mincho" w:hint="eastAsia"/>
          <w:sz w:val="24"/>
          <w:vertAlign w:val="superscript"/>
        </w:rPr>
        <w:t>5</w:t>
      </w:r>
    </w:p>
    <w:p w14:paraId="1823C5D3" w14:textId="77777777" w:rsidR="00085FC9" w:rsidRDefault="00085FC9" w:rsidP="00962C3C">
      <w:pPr>
        <w:rPr>
          <w:sz w:val="24"/>
        </w:rPr>
      </w:pPr>
    </w:p>
    <w:p w14:paraId="57666157" w14:textId="27FF90E8" w:rsidR="00E72EBA" w:rsidRDefault="00B659BB" w:rsidP="00E72EBA">
      <w:pPr>
        <w:pStyle w:val="NoSpacing"/>
        <w:spacing w:line="280" w:lineRule="exact"/>
        <w:jc w:val="center"/>
        <w:rPr>
          <w:rFonts w:ascii="Times New Roman" w:hAnsi="Times New Roman" w:cs="Times New Roman"/>
          <w:i/>
          <w:sz w:val="24"/>
          <w:szCs w:val="24"/>
        </w:rPr>
      </w:pPr>
      <w:r w:rsidRPr="008B5981">
        <w:rPr>
          <w:rFonts w:ascii="Times New Roman" w:hAnsi="Times New Roman" w:cs="Times New Roman"/>
          <w:i/>
          <w:sz w:val="24"/>
          <w:szCs w:val="24"/>
          <w:vertAlign w:val="superscript"/>
        </w:rPr>
        <w:t>1</w:t>
      </w:r>
      <w:r w:rsidR="00E72EBA" w:rsidRPr="00E72EBA">
        <w:rPr>
          <w:rFonts w:ascii="Times New Roman" w:hAnsi="Times New Roman" w:cs="Times New Roman"/>
          <w:i/>
          <w:sz w:val="24"/>
          <w:szCs w:val="24"/>
        </w:rPr>
        <w:t xml:space="preserve">Fusion Energy Division, Oak Ridge National Laboratory, Oak Ridge, TN 37831-6305, </w:t>
      </w:r>
      <w:r w:rsidR="00E72EBA">
        <w:rPr>
          <w:rFonts w:ascii="Times New Roman" w:hAnsi="Times New Roman" w:cs="Times New Roman"/>
          <w:i/>
          <w:sz w:val="24"/>
          <w:szCs w:val="24"/>
        </w:rPr>
        <w:t>USA</w:t>
      </w:r>
    </w:p>
    <w:p w14:paraId="652C02AD" w14:textId="57EACB4F" w:rsidR="00085FC9" w:rsidRDefault="00523B3D" w:rsidP="00523B3D">
      <w:pPr>
        <w:pStyle w:val="NoSpacing"/>
        <w:spacing w:line="280" w:lineRule="exact"/>
        <w:jc w:val="center"/>
        <w:rPr>
          <w:rFonts w:ascii="Times New Roman" w:hAnsi="Times New Roman" w:cs="Times New Roman"/>
          <w:i/>
          <w:sz w:val="24"/>
          <w:szCs w:val="24"/>
        </w:rPr>
      </w:pPr>
      <w:r w:rsidRPr="00523B3D">
        <w:rPr>
          <w:rFonts w:ascii="Times New Roman" w:hAnsi="Times New Roman" w:cs="Times New Roman"/>
          <w:i/>
          <w:sz w:val="24"/>
          <w:szCs w:val="24"/>
          <w:vertAlign w:val="superscript"/>
        </w:rPr>
        <w:t>2</w:t>
      </w:r>
      <w:r w:rsidRPr="00523B3D">
        <w:rPr>
          <w:rFonts w:ascii="Times New Roman" w:hAnsi="Times New Roman" w:cs="Times New Roman"/>
          <w:i/>
          <w:sz w:val="24"/>
          <w:szCs w:val="24"/>
        </w:rPr>
        <w:t>Graduate School of Engineering, Kyoto University Kyoto 615-8540, Japan</w:t>
      </w:r>
    </w:p>
    <w:p w14:paraId="32493279" w14:textId="030C8CF9" w:rsidR="00A965C5" w:rsidRDefault="00523B3D" w:rsidP="00523B3D">
      <w:pPr>
        <w:pStyle w:val="NoSpacing"/>
        <w:spacing w:line="280" w:lineRule="exact"/>
        <w:jc w:val="center"/>
        <w:rPr>
          <w:rFonts w:ascii="Times New Roman" w:eastAsia="Times New Roman" w:hAnsi="Times New Roman" w:cs="Times New Roman"/>
          <w:i/>
          <w:sz w:val="24"/>
          <w:szCs w:val="20"/>
          <w:lang w:eastAsia="ja-JP"/>
        </w:rPr>
      </w:pPr>
      <w:r w:rsidRPr="00523B3D">
        <w:rPr>
          <w:rFonts w:ascii="Times New Roman" w:eastAsia="Times New Roman" w:hAnsi="Times New Roman" w:cs="Times New Roman"/>
          <w:i/>
          <w:sz w:val="24"/>
          <w:szCs w:val="20"/>
          <w:vertAlign w:val="superscript"/>
          <w:lang w:eastAsia="ja-JP"/>
        </w:rPr>
        <w:t>3</w:t>
      </w:r>
      <w:r w:rsidRPr="00523B3D">
        <w:rPr>
          <w:rFonts w:ascii="Times New Roman" w:eastAsia="Times New Roman" w:hAnsi="Times New Roman" w:cs="Times New Roman"/>
          <w:i/>
          <w:sz w:val="24"/>
          <w:szCs w:val="20"/>
          <w:lang w:eastAsia="ja-JP"/>
        </w:rPr>
        <w:t xml:space="preserve">National Institute for Fusion Science, Toki, Gifu, 509-5292, Japan </w:t>
      </w:r>
    </w:p>
    <w:p w14:paraId="59697FCD" w14:textId="770956EB" w:rsidR="00523B3D" w:rsidRDefault="00523B3D" w:rsidP="00A965C5">
      <w:pPr>
        <w:pStyle w:val="NoSpacing"/>
        <w:spacing w:line="280" w:lineRule="exact"/>
        <w:jc w:val="center"/>
        <w:rPr>
          <w:rFonts w:ascii="Times New Roman" w:eastAsia="Times New Roman" w:hAnsi="Times New Roman" w:cs="Times New Roman"/>
          <w:i/>
          <w:sz w:val="24"/>
          <w:szCs w:val="20"/>
          <w:lang w:eastAsia="ja-JP"/>
        </w:rPr>
      </w:pPr>
      <w:r w:rsidRPr="00A965C5">
        <w:rPr>
          <w:rFonts w:ascii="Times New Roman" w:eastAsia="Times New Roman" w:hAnsi="Times New Roman" w:cs="Times New Roman"/>
          <w:i/>
          <w:sz w:val="24"/>
          <w:szCs w:val="20"/>
          <w:vertAlign w:val="superscript"/>
          <w:lang w:eastAsia="ja-JP"/>
        </w:rPr>
        <w:t>4</w:t>
      </w:r>
      <w:r w:rsidRPr="00523B3D">
        <w:rPr>
          <w:rFonts w:ascii="Times New Roman" w:eastAsia="Times New Roman" w:hAnsi="Times New Roman" w:cs="Times New Roman"/>
          <w:i/>
          <w:sz w:val="24"/>
          <w:szCs w:val="20"/>
          <w:lang w:eastAsia="ja-JP"/>
        </w:rPr>
        <w:t>The Graduate University for Advanced Studies, SOKENDAI, Toki 509-5292, Japan</w:t>
      </w:r>
    </w:p>
    <w:p w14:paraId="21543A36" w14:textId="004964E5" w:rsidR="00A965C5" w:rsidRDefault="00CF7D91" w:rsidP="00A965C5">
      <w:pPr>
        <w:pStyle w:val="NoSpacing"/>
        <w:spacing w:line="280" w:lineRule="exact"/>
        <w:jc w:val="center"/>
        <w:rPr>
          <w:i/>
          <w:sz w:val="24"/>
        </w:rPr>
      </w:pPr>
      <w:r w:rsidRPr="00A67172">
        <w:rPr>
          <w:rFonts w:ascii="Times New Roman" w:eastAsia="Times New Roman" w:hAnsi="Times New Roman" w:cs="Times New Roman"/>
          <w:i/>
          <w:sz w:val="24"/>
          <w:szCs w:val="20"/>
          <w:vertAlign w:val="superscript"/>
          <w:lang w:eastAsia="ja-JP"/>
        </w:rPr>
        <w:t>5</w:t>
      </w:r>
      <w:r w:rsidR="00A67172" w:rsidRPr="00A67172">
        <w:rPr>
          <w:rFonts w:ascii="Times New Roman" w:eastAsia="Times New Roman" w:hAnsi="Times New Roman" w:cs="Times New Roman"/>
          <w:i/>
          <w:sz w:val="24"/>
          <w:szCs w:val="20"/>
          <w:lang w:eastAsia="ja-JP"/>
        </w:rPr>
        <w:t xml:space="preserve">Max-Planck </w:t>
      </w:r>
      <w:proofErr w:type="spellStart"/>
      <w:r w:rsidR="00A67172" w:rsidRPr="00A67172">
        <w:rPr>
          <w:rFonts w:ascii="Times New Roman" w:eastAsia="Times New Roman" w:hAnsi="Times New Roman" w:cs="Times New Roman"/>
          <w:i/>
          <w:sz w:val="24"/>
          <w:szCs w:val="20"/>
          <w:lang w:eastAsia="ja-JP"/>
        </w:rPr>
        <w:t>Institut</w:t>
      </w:r>
      <w:proofErr w:type="spellEnd"/>
      <w:r w:rsidR="00A67172" w:rsidRPr="00A67172">
        <w:rPr>
          <w:rFonts w:ascii="Times New Roman" w:eastAsia="Times New Roman" w:hAnsi="Times New Roman" w:cs="Times New Roman"/>
          <w:i/>
          <w:sz w:val="24"/>
          <w:szCs w:val="20"/>
          <w:lang w:eastAsia="ja-JP"/>
        </w:rPr>
        <w:t xml:space="preserve"> für </w:t>
      </w:r>
      <w:proofErr w:type="spellStart"/>
      <w:r w:rsidR="00A67172" w:rsidRPr="00A67172">
        <w:rPr>
          <w:rFonts w:ascii="Times New Roman" w:eastAsia="Times New Roman" w:hAnsi="Times New Roman" w:cs="Times New Roman"/>
          <w:i/>
          <w:sz w:val="24"/>
          <w:szCs w:val="20"/>
          <w:lang w:eastAsia="ja-JP"/>
        </w:rPr>
        <w:t>Plasmaphysik</w:t>
      </w:r>
      <w:proofErr w:type="spellEnd"/>
      <w:r w:rsidR="00A67172" w:rsidRPr="00A67172">
        <w:rPr>
          <w:rFonts w:ascii="Times New Roman" w:eastAsia="Times New Roman" w:hAnsi="Times New Roman" w:cs="Times New Roman"/>
          <w:i/>
          <w:sz w:val="24"/>
          <w:szCs w:val="20"/>
          <w:lang w:eastAsia="ja-JP"/>
        </w:rPr>
        <w:t>, 17491 Greifswald, Germany</w:t>
      </w:r>
    </w:p>
    <w:p w14:paraId="641E813C" w14:textId="77777777" w:rsidR="00130850" w:rsidRDefault="00130850" w:rsidP="00962C3C">
      <w:pPr>
        <w:jc w:val="center"/>
        <w:rPr>
          <w:i/>
          <w:sz w:val="24"/>
        </w:rPr>
      </w:pPr>
    </w:p>
    <w:p w14:paraId="792E886D" w14:textId="65431219" w:rsidR="00E431B1" w:rsidRDefault="0044547B" w:rsidP="00E431B1">
      <w:pPr>
        <w:jc w:val="center"/>
        <w:rPr>
          <w:iCs/>
          <w:sz w:val="24"/>
        </w:rPr>
      </w:pPr>
      <w:r>
        <w:rPr>
          <w:iCs/>
          <w:sz w:val="24"/>
        </w:rPr>
        <w:t xml:space="preserve">Corresponding Author Email: </w:t>
      </w:r>
      <w:hyperlink r:id="rId7" w:history="1">
        <w:r w:rsidR="00067EFD" w:rsidRPr="00492DCD">
          <w:rPr>
            <w:rStyle w:val="Hyperlink"/>
            <w:iCs/>
            <w:sz w:val="24"/>
          </w:rPr>
          <w:t>fujiik@ornl.gov</w:t>
        </w:r>
      </w:hyperlink>
    </w:p>
    <w:p w14:paraId="4DE5CEE8" w14:textId="77777777" w:rsidR="00223A76" w:rsidRDefault="00223A76" w:rsidP="00223A76">
      <w:pPr>
        <w:pStyle w:val="Paragraph"/>
        <w:jc w:val="both"/>
        <w:rPr>
          <w:sz w:val="24"/>
        </w:rPr>
      </w:pPr>
    </w:p>
    <w:p w14:paraId="2BA3FBDE" w14:textId="77777777" w:rsidR="00F970F6" w:rsidRDefault="00223A76" w:rsidP="00B62427">
      <w:pPr>
        <w:pStyle w:val="Paragraph"/>
        <w:jc w:val="both"/>
        <w:rPr>
          <w:sz w:val="24"/>
        </w:rPr>
      </w:pPr>
      <w:r w:rsidRPr="00223A76">
        <w:rPr>
          <w:sz w:val="24"/>
        </w:rPr>
        <w:t xml:space="preserve">Particle balance in magnetically confined fusion plasmas is governed by particle sources, transport, and recycling. Although neutrals are often assumed to ionize predominantly at the plasma edge due to short ionization lengths, repeated charge-exchange collisions with hot ions can generate energetic neutrals that </w:t>
      </w:r>
      <w:proofErr w:type="gramStart"/>
      <w:r w:rsidRPr="00223A76">
        <w:rPr>
          <w:sz w:val="24"/>
        </w:rPr>
        <w:t>penetrate into</w:t>
      </w:r>
      <w:proofErr w:type="gramEnd"/>
      <w:r w:rsidRPr="00223A76">
        <w:rPr>
          <w:sz w:val="24"/>
        </w:rPr>
        <w:t xml:space="preserve"> the core. These hot neutrals are subsequently ionized by electron impact and can provide a direct particle source to the main plasma, influencing density profile formation.</w:t>
      </w:r>
      <w:r w:rsidR="00B62427">
        <w:rPr>
          <w:sz w:val="24"/>
        </w:rPr>
        <w:t xml:space="preserve"> </w:t>
      </w:r>
    </w:p>
    <w:p w14:paraId="1AE603B0" w14:textId="1C6CF1BB" w:rsidR="00A7709B" w:rsidRDefault="00223A76" w:rsidP="00A7709B">
      <w:pPr>
        <w:pStyle w:val="Paragraph"/>
        <w:jc w:val="both"/>
        <w:rPr>
          <w:sz w:val="24"/>
        </w:rPr>
      </w:pPr>
      <w:r w:rsidRPr="00223A76">
        <w:rPr>
          <w:sz w:val="24"/>
        </w:rPr>
        <w:t xml:space="preserve">Measuring core neutral emission </w:t>
      </w:r>
      <w:r w:rsidR="0053091B">
        <w:rPr>
          <w:sz w:val="24"/>
        </w:rPr>
        <w:t>has been</w:t>
      </w:r>
      <w:r w:rsidRPr="00223A76">
        <w:rPr>
          <w:sz w:val="24"/>
        </w:rPr>
        <w:t xml:space="preserve"> difficult because </w:t>
      </w:r>
      <w:r w:rsidR="001624B9">
        <w:rPr>
          <w:sz w:val="24"/>
        </w:rPr>
        <w:t xml:space="preserve">it </w:t>
      </w:r>
      <w:r w:rsidRPr="00223A76">
        <w:rPr>
          <w:sz w:val="24"/>
        </w:rPr>
        <w:t xml:space="preserve">is orders of magnitude weaker than edge emission and can be </w:t>
      </w:r>
      <w:r w:rsidR="00580C3E">
        <w:rPr>
          <w:sz w:val="24"/>
        </w:rPr>
        <w:t xml:space="preserve">easily </w:t>
      </w:r>
      <w:r w:rsidRPr="00223A76">
        <w:rPr>
          <w:sz w:val="24"/>
        </w:rPr>
        <w:t xml:space="preserve">masked by detector noise and </w:t>
      </w:r>
      <w:r w:rsidR="00CE6152">
        <w:rPr>
          <w:sz w:val="24"/>
        </w:rPr>
        <w:t xml:space="preserve">the </w:t>
      </w:r>
      <w:r w:rsidR="001624B9">
        <w:rPr>
          <w:sz w:val="24"/>
        </w:rPr>
        <w:t>wall</w:t>
      </w:r>
      <w:r w:rsidR="008E67CD">
        <w:rPr>
          <w:rFonts w:eastAsiaTheme="minorEastAsia" w:hint="eastAsia"/>
          <w:sz w:val="24"/>
        </w:rPr>
        <w:t>-</w:t>
      </w:r>
      <w:r w:rsidR="00580C3E">
        <w:rPr>
          <w:sz w:val="24"/>
        </w:rPr>
        <w:t>reflect</w:t>
      </w:r>
      <w:r w:rsidR="00CE6152">
        <w:rPr>
          <w:sz w:val="24"/>
        </w:rPr>
        <w:t>e</w:t>
      </w:r>
      <w:r w:rsidR="008E67CD">
        <w:rPr>
          <w:rFonts w:eastAsiaTheme="minorEastAsia" w:hint="eastAsia"/>
          <w:sz w:val="24"/>
        </w:rPr>
        <w:t>d</w:t>
      </w:r>
      <w:r w:rsidR="00CE6152">
        <w:rPr>
          <w:sz w:val="24"/>
        </w:rPr>
        <w:t xml:space="preserve"> light</w:t>
      </w:r>
      <w:r w:rsidRPr="00223A76">
        <w:rPr>
          <w:sz w:val="24"/>
        </w:rPr>
        <w:t xml:space="preserve">. </w:t>
      </w:r>
      <w:r w:rsidR="00F111D8">
        <w:rPr>
          <w:sz w:val="24"/>
        </w:rPr>
        <w:t xml:space="preserve">To overcome this challenge, the authors </w:t>
      </w:r>
      <w:r w:rsidR="00AC28B4">
        <w:rPr>
          <w:sz w:val="24"/>
        </w:rPr>
        <w:t xml:space="preserve">proposed to </w:t>
      </w:r>
      <w:r w:rsidR="00A7709B">
        <w:rPr>
          <w:sz w:val="24"/>
        </w:rPr>
        <w:t>utilize</w:t>
      </w:r>
      <w:r w:rsidR="00AC28B4">
        <w:rPr>
          <w:sz w:val="24"/>
        </w:rPr>
        <w:t xml:space="preserve"> </w:t>
      </w:r>
      <w:r w:rsidR="00F111D8">
        <w:rPr>
          <w:sz w:val="24"/>
        </w:rPr>
        <w:t xml:space="preserve">the </w:t>
      </w:r>
      <w:r w:rsidR="00F111D8" w:rsidRPr="00223A76">
        <w:rPr>
          <w:sz w:val="24"/>
        </w:rPr>
        <w:t xml:space="preserve">temperature </w:t>
      </w:r>
      <w:r w:rsidR="00A7709B">
        <w:rPr>
          <w:sz w:val="24"/>
        </w:rPr>
        <w:t xml:space="preserve">difference </w:t>
      </w:r>
      <w:r w:rsidR="00F111D8" w:rsidRPr="00223A76">
        <w:rPr>
          <w:sz w:val="24"/>
        </w:rPr>
        <w:t xml:space="preserve">between </w:t>
      </w:r>
      <w:r w:rsidR="00E3671E">
        <w:rPr>
          <w:sz w:val="24"/>
        </w:rPr>
        <w:t xml:space="preserve">hot </w:t>
      </w:r>
      <w:r w:rsidR="00F111D8" w:rsidRPr="00223A76">
        <w:rPr>
          <w:sz w:val="24"/>
        </w:rPr>
        <w:t xml:space="preserve">core </w:t>
      </w:r>
      <w:r w:rsidR="00A7709B">
        <w:rPr>
          <w:sz w:val="24"/>
        </w:rPr>
        <w:t xml:space="preserve">neutrals </w:t>
      </w:r>
      <w:r w:rsidR="00F111D8" w:rsidRPr="00223A76">
        <w:rPr>
          <w:sz w:val="24"/>
        </w:rPr>
        <w:t xml:space="preserve">(~1 keV) and cold edge </w:t>
      </w:r>
      <w:r w:rsidR="00A7709B">
        <w:rPr>
          <w:sz w:val="24"/>
        </w:rPr>
        <w:t xml:space="preserve">neutrals </w:t>
      </w:r>
      <w:r w:rsidR="00F111D8" w:rsidRPr="00223A76">
        <w:rPr>
          <w:sz w:val="24"/>
        </w:rPr>
        <w:t>(</w:t>
      </w:r>
      <w:r w:rsidR="00AA41A5">
        <w:rPr>
          <w:rFonts w:eastAsiaTheme="minorEastAsia" w:hint="eastAsia"/>
          <w:sz w:val="24"/>
        </w:rPr>
        <w:t xml:space="preserve">a </w:t>
      </w:r>
      <w:r w:rsidR="00F111D8" w:rsidRPr="00223A76">
        <w:rPr>
          <w:sz w:val="24"/>
        </w:rPr>
        <w:t>few eV)</w:t>
      </w:r>
      <w:r w:rsidR="00AC28B4">
        <w:rPr>
          <w:sz w:val="24"/>
        </w:rPr>
        <w:t xml:space="preserve">, rather than the </w:t>
      </w:r>
      <w:r w:rsidR="00A7709B">
        <w:rPr>
          <w:sz w:val="24"/>
        </w:rPr>
        <w:t>spatial position</w:t>
      </w:r>
      <w:r w:rsidR="00A95050">
        <w:rPr>
          <w:sz w:val="24"/>
        </w:rPr>
        <w:t xml:space="preserve"> </w:t>
      </w:r>
      <w:r w:rsidR="00417425">
        <w:rPr>
          <w:rFonts w:eastAsiaTheme="minorEastAsia" w:hint="eastAsia"/>
          <w:sz w:val="24"/>
        </w:rPr>
        <w:t xml:space="preserve">alone </w:t>
      </w:r>
      <w:r w:rsidR="00A95050">
        <w:rPr>
          <w:sz w:val="24"/>
        </w:rPr>
        <w:t>[1]</w:t>
      </w:r>
      <w:r w:rsidR="00E3671E">
        <w:rPr>
          <w:sz w:val="24"/>
        </w:rPr>
        <w:t>.</w:t>
      </w:r>
      <w:r w:rsidR="00A7709B">
        <w:rPr>
          <w:sz w:val="24"/>
        </w:rPr>
        <w:t xml:space="preserve"> The </w:t>
      </w:r>
      <w:r w:rsidR="00417425">
        <w:rPr>
          <w:rFonts w:eastAsiaTheme="minorEastAsia" w:hint="eastAsia"/>
          <w:sz w:val="24"/>
        </w:rPr>
        <w:t xml:space="preserve">high-temperature </w:t>
      </w:r>
      <w:r w:rsidR="00A7709B">
        <w:rPr>
          <w:sz w:val="24"/>
        </w:rPr>
        <w:t xml:space="preserve">neutral emission in </w:t>
      </w:r>
      <w:r w:rsidR="004453CB">
        <w:rPr>
          <w:sz w:val="24"/>
        </w:rPr>
        <w:t xml:space="preserve">the core </w:t>
      </w:r>
      <w:r w:rsidR="00A7709B">
        <w:rPr>
          <w:sz w:val="24"/>
        </w:rPr>
        <w:t xml:space="preserve">will appear in the </w:t>
      </w:r>
      <w:r w:rsidR="004453CB">
        <w:rPr>
          <w:sz w:val="24"/>
        </w:rPr>
        <w:t xml:space="preserve">shifted </w:t>
      </w:r>
      <w:r w:rsidR="00A7709B">
        <w:rPr>
          <w:sz w:val="24"/>
        </w:rPr>
        <w:t>wavelength due to the Doppler effect.</w:t>
      </w:r>
      <w:r w:rsidR="004453CB">
        <w:rPr>
          <w:sz w:val="24"/>
        </w:rPr>
        <w:t xml:space="preserve"> </w:t>
      </w:r>
    </w:p>
    <w:p w14:paraId="5E01E09D" w14:textId="14AE6403" w:rsidR="00E92581" w:rsidRDefault="008E67CD" w:rsidP="00E92581">
      <w:pPr>
        <w:pStyle w:val="Paragraph"/>
        <w:jc w:val="both"/>
        <w:rPr>
          <w:sz w:val="24"/>
        </w:rPr>
      </w:pPr>
      <w:r>
        <w:rPr>
          <w:rFonts w:eastAsiaTheme="minorEastAsia" w:hint="eastAsia"/>
          <w:sz w:val="24"/>
        </w:rPr>
        <w:t>We</w:t>
      </w:r>
      <w:r w:rsidR="00A7709B">
        <w:rPr>
          <w:sz w:val="24"/>
        </w:rPr>
        <w:t xml:space="preserve"> have developed a</w:t>
      </w:r>
      <w:r w:rsidR="00223A76" w:rsidRPr="00223A76">
        <w:rPr>
          <w:sz w:val="24"/>
        </w:rPr>
        <w:t xml:space="preserve"> high-dynamic-range </w:t>
      </w:r>
      <w:r w:rsidR="00157FB6">
        <w:rPr>
          <w:sz w:val="24"/>
        </w:rPr>
        <w:t xml:space="preserve">(HDR) </w:t>
      </w:r>
      <w:r w:rsidR="00223A76" w:rsidRPr="00223A76">
        <w:rPr>
          <w:sz w:val="24"/>
        </w:rPr>
        <w:t xml:space="preserve">spectroscopic technique </w:t>
      </w:r>
      <w:r w:rsidR="00A95050">
        <w:rPr>
          <w:sz w:val="24"/>
        </w:rPr>
        <w:t xml:space="preserve">[2] </w:t>
      </w:r>
      <w:r w:rsidR="00223A76" w:rsidRPr="00223A76">
        <w:rPr>
          <w:sz w:val="24"/>
        </w:rPr>
        <w:t xml:space="preserve">to </w:t>
      </w:r>
      <w:r w:rsidR="00A7709B">
        <w:rPr>
          <w:sz w:val="24"/>
        </w:rPr>
        <w:t xml:space="preserve">measure </w:t>
      </w:r>
      <w:r w:rsidR="004453CB">
        <w:rPr>
          <w:sz w:val="24"/>
        </w:rPr>
        <w:t>the neutrals in both the core and edge regions</w:t>
      </w:r>
      <w:r w:rsidR="00EF1201">
        <w:rPr>
          <w:sz w:val="24"/>
        </w:rPr>
        <w:t xml:space="preserve">, which </w:t>
      </w:r>
      <w:r w:rsidR="00E8068D">
        <w:rPr>
          <w:sz w:val="24"/>
        </w:rPr>
        <w:t>can</w:t>
      </w:r>
      <w:r w:rsidR="00952974" w:rsidRPr="00952974">
        <w:rPr>
          <w:sz w:val="24"/>
        </w:rPr>
        <w:t xml:space="preserve"> </w:t>
      </w:r>
      <w:r w:rsidR="00EF1201">
        <w:rPr>
          <w:sz w:val="24"/>
        </w:rPr>
        <w:t xml:space="preserve">measure the </w:t>
      </w:r>
      <w:r w:rsidR="00E8068D">
        <w:rPr>
          <w:sz w:val="24"/>
        </w:rPr>
        <w:t>Balmer-</w:t>
      </w:r>
      <w:r w:rsidR="00E8068D" w:rsidRPr="00E8068D">
        <w:rPr>
          <w:rFonts w:ascii="T imes New Roman" w:eastAsiaTheme="minorEastAsia" w:hAnsi="T imes New Roman"/>
          <w:sz w:val="24"/>
        </w:rPr>
        <w:t>α</w:t>
      </w:r>
      <w:r w:rsidR="00E8068D">
        <w:rPr>
          <w:rFonts w:ascii="T imes New Roman" w:eastAsiaTheme="minorEastAsia" w:hAnsi="T imes New Roman" w:hint="eastAsia"/>
          <w:sz w:val="24"/>
        </w:rPr>
        <w:t xml:space="preserve"> </w:t>
      </w:r>
      <w:r w:rsidR="00E8068D">
        <w:rPr>
          <w:rFonts w:ascii="T imes New Roman" w:eastAsiaTheme="minorEastAsia" w:hAnsi="T imes New Roman"/>
          <w:sz w:val="24"/>
        </w:rPr>
        <w:t xml:space="preserve">emission </w:t>
      </w:r>
      <w:r w:rsidR="00E8068D">
        <w:rPr>
          <w:sz w:val="24"/>
        </w:rPr>
        <w:t xml:space="preserve">profile with </w:t>
      </w:r>
      <w:r w:rsidR="00952974" w:rsidRPr="00952974">
        <w:rPr>
          <w:sz w:val="24"/>
        </w:rPr>
        <w:t xml:space="preserve">10⁶ </w:t>
      </w:r>
      <w:r w:rsidR="00E8068D">
        <w:rPr>
          <w:sz w:val="24"/>
        </w:rPr>
        <w:t>dynamic range</w:t>
      </w:r>
      <w:r w:rsidR="00952974" w:rsidRPr="00952974">
        <w:rPr>
          <w:sz w:val="24"/>
        </w:rPr>
        <w:t>. With this capability, the hot-core component can be separated from the dominant cold-edge background, enabling detection of neutral populations with effective temperatures exceeding 1 keV.</w:t>
      </w:r>
      <w:r w:rsidR="00223A76" w:rsidRPr="00223A76">
        <w:rPr>
          <w:sz w:val="24"/>
        </w:rPr>
        <w:t xml:space="preserve"> </w:t>
      </w:r>
      <w:r w:rsidR="00110667">
        <w:rPr>
          <w:sz w:val="24"/>
        </w:rPr>
        <w:t xml:space="preserve">In this talk, we will </w:t>
      </w:r>
      <w:r w:rsidR="00223A76" w:rsidRPr="00223A76">
        <w:rPr>
          <w:sz w:val="24"/>
        </w:rPr>
        <w:t xml:space="preserve">outline the measurement principle, key instrumental requirements, and analysis procedures to extract the </w:t>
      </w:r>
      <w:r w:rsidR="00EA1636">
        <w:rPr>
          <w:sz w:val="24"/>
        </w:rPr>
        <w:t>neutral density from the spectrum</w:t>
      </w:r>
      <w:r w:rsidR="00D75EDA">
        <w:rPr>
          <w:sz w:val="24"/>
        </w:rPr>
        <w:t xml:space="preserve"> [3]</w:t>
      </w:r>
      <w:r w:rsidR="00223A76" w:rsidRPr="00223A76">
        <w:rPr>
          <w:sz w:val="24"/>
        </w:rPr>
        <w:t xml:space="preserve">. </w:t>
      </w:r>
      <w:r w:rsidR="00EA1636">
        <w:rPr>
          <w:sz w:val="24"/>
        </w:rPr>
        <w:t>This involves a</w:t>
      </w:r>
      <w:r w:rsidR="00223A76" w:rsidRPr="00223A76">
        <w:rPr>
          <w:sz w:val="24"/>
        </w:rPr>
        <w:t xml:space="preserve">n inversion </w:t>
      </w:r>
      <w:r w:rsidR="00EA1636">
        <w:rPr>
          <w:sz w:val="24"/>
        </w:rPr>
        <w:t xml:space="preserve">process, </w:t>
      </w:r>
      <w:r w:rsidR="00E92581">
        <w:rPr>
          <w:sz w:val="24"/>
        </w:rPr>
        <w:t>which is</w:t>
      </w:r>
      <w:r w:rsidR="00223A76" w:rsidRPr="00223A76">
        <w:rPr>
          <w:sz w:val="24"/>
        </w:rPr>
        <w:t xml:space="preserve"> </w:t>
      </w:r>
      <w:r w:rsidR="00E92581">
        <w:rPr>
          <w:sz w:val="24"/>
        </w:rPr>
        <w:t xml:space="preserve">validated by </w:t>
      </w:r>
      <w:r w:rsidR="00223A76" w:rsidRPr="00223A76">
        <w:rPr>
          <w:sz w:val="24"/>
        </w:rPr>
        <w:t xml:space="preserve">Monte Carlo neutral-transport simulations. </w:t>
      </w:r>
    </w:p>
    <w:p w14:paraId="4A151999" w14:textId="349472E9" w:rsidR="00D7090E" w:rsidRPr="00D7090E" w:rsidRDefault="00B66C07" w:rsidP="00D7090E">
      <w:pPr>
        <w:pStyle w:val="Paragraph"/>
        <w:jc w:val="both"/>
        <w:rPr>
          <w:rFonts w:eastAsiaTheme="minorEastAsia"/>
          <w:sz w:val="24"/>
        </w:rPr>
      </w:pPr>
      <w:r>
        <w:rPr>
          <w:sz w:val="24"/>
        </w:rPr>
        <w:t xml:space="preserve">This technique </w:t>
      </w:r>
      <w:r w:rsidR="000E51FF">
        <w:rPr>
          <w:sz w:val="24"/>
        </w:rPr>
        <w:t xml:space="preserve">has been extended and adopted </w:t>
      </w:r>
      <w:r w:rsidR="00322B65">
        <w:rPr>
          <w:sz w:val="24"/>
        </w:rPr>
        <w:t>by other groups</w:t>
      </w:r>
      <w:r w:rsidR="00F80C7D">
        <w:rPr>
          <w:sz w:val="24"/>
        </w:rPr>
        <w:t xml:space="preserve"> [4, 5]</w:t>
      </w:r>
      <w:r w:rsidR="00604CF7">
        <w:rPr>
          <w:sz w:val="24"/>
        </w:rPr>
        <w:t xml:space="preserve">. </w:t>
      </w:r>
      <w:r w:rsidR="00322B65">
        <w:rPr>
          <w:sz w:val="24"/>
        </w:rPr>
        <w:t xml:space="preserve">Additionally, </w:t>
      </w:r>
      <w:r w:rsidR="00052A94">
        <w:rPr>
          <w:sz w:val="24"/>
        </w:rPr>
        <w:t xml:space="preserve">we are planning to install the same system </w:t>
      </w:r>
      <w:r w:rsidR="00D7090E">
        <w:rPr>
          <w:rFonts w:eastAsiaTheme="minorEastAsia" w:hint="eastAsia"/>
          <w:sz w:val="24"/>
        </w:rPr>
        <w:t>on</w:t>
      </w:r>
      <w:r w:rsidR="00E92581">
        <w:rPr>
          <w:sz w:val="24"/>
        </w:rPr>
        <w:t xml:space="preserve"> </w:t>
      </w:r>
      <w:r w:rsidR="00223A76" w:rsidRPr="00223A76">
        <w:rPr>
          <w:sz w:val="24"/>
        </w:rPr>
        <w:t xml:space="preserve">W7-X, where </w:t>
      </w:r>
      <w:r w:rsidR="00D7090E">
        <w:rPr>
          <w:rFonts w:eastAsiaTheme="minorEastAsia" w:hint="eastAsia"/>
          <w:sz w:val="24"/>
        </w:rPr>
        <w:t xml:space="preserve">suppression of </w:t>
      </w:r>
      <w:r w:rsidR="00223A76" w:rsidRPr="00223A76">
        <w:rPr>
          <w:sz w:val="24"/>
        </w:rPr>
        <w:t xml:space="preserve">ITG turbulence </w:t>
      </w:r>
      <w:r w:rsidR="00D7090E">
        <w:rPr>
          <w:rFonts w:eastAsiaTheme="minorEastAsia" w:hint="eastAsia"/>
          <w:sz w:val="24"/>
        </w:rPr>
        <w:t xml:space="preserve">via </w:t>
      </w:r>
      <w:r w:rsidR="00AD5EA5">
        <w:rPr>
          <w:sz w:val="24"/>
        </w:rPr>
        <w:t>steep density gradient</w:t>
      </w:r>
      <w:r w:rsidR="00D7090E">
        <w:rPr>
          <w:rFonts w:eastAsiaTheme="minorEastAsia" w:hint="eastAsia"/>
          <w:sz w:val="24"/>
        </w:rPr>
        <w:t>s</w:t>
      </w:r>
      <w:r w:rsidR="00AD5EA5">
        <w:rPr>
          <w:sz w:val="24"/>
        </w:rPr>
        <w:t xml:space="preserve"> </w:t>
      </w:r>
      <w:r w:rsidR="00223A76" w:rsidRPr="00223A76">
        <w:rPr>
          <w:sz w:val="24"/>
        </w:rPr>
        <w:t xml:space="preserve">is </w:t>
      </w:r>
      <w:r w:rsidR="00AD5EA5">
        <w:rPr>
          <w:sz w:val="24"/>
        </w:rPr>
        <w:t xml:space="preserve">critical to </w:t>
      </w:r>
      <w:r w:rsidR="00D7090E">
        <w:rPr>
          <w:rFonts w:eastAsiaTheme="minorEastAsia" w:hint="eastAsia"/>
          <w:sz w:val="24"/>
        </w:rPr>
        <w:t xml:space="preserve">achieve </w:t>
      </w:r>
      <w:r w:rsidR="00052A94">
        <w:rPr>
          <w:sz w:val="24"/>
        </w:rPr>
        <w:t>high-performance plasma</w:t>
      </w:r>
      <w:r w:rsidR="00D7090E">
        <w:rPr>
          <w:rFonts w:eastAsiaTheme="minorEastAsia" w:hint="eastAsia"/>
          <w:sz w:val="24"/>
        </w:rPr>
        <w:t>.</w:t>
      </w:r>
    </w:p>
    <w:p w14:paraId="4AF9C71A" w14:textId="77777777" w:rsidR="00C3492B" w:rsidRDefault="00C3492B" w:rsidP="00C3492B">
      <w:pPr>
        <w:pStyle w:val="Paragraph"/>
        <w:jc w:val="both"/>
        <w:rPr>
          <w:sz w:val="24"/>
        </w:rPr>
      </w:pPr>
    </w:p>
    <w:p w14:paraId="068CB4DB" w14:textId="5501C72A" w:rsidR="00F03981" w:rsidRPr="00F03981" w:rsidRDefault="00F03981" w:rsidP="00E72EBA">
      <w:pPr>
        <w:pStyle w:val="Paragraph"/>
        <w:ind w:firstLine="0"/>
        <w:jc w:val="both"/>
        <w:rPr>
          <w:sz w:val="24"/>
        </w:rPr>
      </w:pPr>
      <w:r w:rsidRPr="00F03981">
        <w:rPr>
          <w:sz w:val="24"/>
        </w:rPr>
        <w:t xml:space="preserve">This work was supported by the U.S. D.O.E. contract </w:t>
      </w:r>
      <w:r w:rsidR="00C362E3" w:rsidRPr="00C362E3">
        <w:rPr>
          <w:sz w:val="24"/>
        </w:rPr>
        <w:t>DE-AC05-00OR22725</w:t>
      </w:r>
      <w:r w:rsidRPr="00F03981">
        <w:rPr>
          <w:sz w:val="24"/>
        </w:rPr>
        <w:t>.</w:t>
      </w:r>
    </w:p>
    <w:p w14:paraId="14D74702" w14:textId="22E9672B" w:rsidR="0035680F" w:rsidRDefault="0035680F" w:rsidP="00962C3C">
      <w:pPr>
        <w:pStyle w:val="Paragraph"/>
        <w:ind w:firstLine="0"/>
        <w:jc w:val="both"/>
        <w:rPr>
          <w:sz w:val="24"/>
        </w:rPr>
      </w:pPr>
    </w:p>
    <w:p w14:paraId="6F0F4904" w14:textId="36EDA732" w:rsidR="00A8175E" w:rsidRDefault="00A8175E" w:rsidP="00962C3C">
      <w:pPr>
        <w:pStyle w:val="Paragraph"/>
        <w:ind w:firstLine="0"/>
        <w:jc w:val="both"/>
        <w:rPr>
          <w:sz w:val="24"/>
        </w:rPr>
      </w:pPr>
      <w:r>
        <w:rPr>
          <w:sz w:val="24"/>
        </w:rPr>
        <w:t xml:space="preserve">[1] </w:t>
      </w:r>
      <w:r w:rsidR="00491409">
        <w:rPr>
          <w:sz w:val="24"/>
        </w:rPr>
        <w:t>M. Goto</w:t>
      </w:r>
      <w:r w:rsidR="00970C1E">
        <w:rPr>
          <w:rFonts w:eastAsiaTheme="minorEastAsia" w:hint="eastAsia"/>
          <w:sz w:val="24"/>
        </w:rPr>
        <w:t xml:space="preserve">, </w:t>
      </w:r>
      <w:r w:rsidR="00531EAE">
        <w:rPr>
          <w:rFonts w:eastAsiaTheme="minorEastAsia" w:hint="eastAsia"/>
          <w:sz w:val="24"/>
        </w:rPr>
        <w:t>K. Sawada, K. Fujii, M. Hasuo, S. Morita</w:t>
      </w:r>
      <w:r w:rsidR="00491409">
        <w:rPr>
          <w:sz w:val="24"/>
        </w:rPr>
        <w:t xml:space="preserve">, et al., </w:t>
      </w:r>
      <w:proofErr w:type="spellStart"/>
      <w:r w:rsidR="00AB112F" w:rsidRPr="00B53F7F">
        <w:rPr>
          <w:i/>
          <w:iCs/>
          <w:sz w:val="24"/>
        </w:rPr>
        <w:t>Nucl</w:t>
      </w:r>
      <w:proofErr w:type="spellEnd"/>
      <w:r w:rsidR="00AB112F" w:rsidRPr="00B53F7F">
        <w:rPr>
          <w:i/>
          <w:iCs/>
          <w:sz w:val="24"/>
        </w:rPr>
        <w:t>. Fusion</w:t>
      </w:r>
      <w:r w:rsidR="00AB112F">
        <w:rPr>
          <w:sz w:val="24"/>
        </w:rPr>
        <w:t xml:space="preserve"> </w:t>
      </w:r>
      <w:r w:rsidR="00AB112F" w:rsidRPr="00AB112F">
        <w:rPr>
          <w:b/>
          <w:bCs/>
          <w:sz w:val="24"/>
        </w:rPr>
        <w:t>51</w:t>
      </w:r>
      <w:r w:rsidR="00AB112F" w:rsidRPr="00AB112F">
        <w:rPr>
          <w:sz w:val="24"/>
        </w:rPr>
        <w:t xml:space="preserve"> 023005</w:t>
      </w:r>
      <w:r w:rsidR="00AB112F">
        <w:rPr>
          <w:sz w:val="24"/>
        </w:rPr>
        <w:t xml:space="preserve"> (2011)</w:t>
      </w:r>
    </w:p>
    <w:p w14:paraId="1F9076A4" w14:textId="1793763C" w:rsidR="00A95050" w:rsidRPr="00D75EDA" w:rsidRDefault="00A8175E" w:rsidP="00A95050">
      <w:pPr>
        <w:pStyle w:val="Paragraph"/>
        <w:ind w:firstLine="0"/>
        <w:jc w:val="both"/>
        <w:rPr>
          <w:sz w:val="24"/>
          <w:szCs w:val="24"/>
        </w:rPr>
      </w:pPr>
      <w:r>
        <w:rPr>
          <w:sz w:val="24"/>
        </w:rPr>
        <w:t xml:space="preserve">[2] </w:t>
      </w:r>
      <w:r w:rsidR="00A95050">
        <w:rPr>
          <w:sz w:val="24"/>
        </w:rPr>
        <w:t xml:space="preserve">K. </w:t>
      </w:r>
      <w:r w:rsidR="00A95050" w:rsidRPr="00333691">
        <w:rPr>
          <w:sz w:val="24"/>
        </w:rPr>
        <w:t xml:space="preserve">Fujii, </w:t>
      </w:r>
      <w:r w:rsidR="0042461B">
        <w:rPr>
          <w:rFonts w:eastAsiaTheme="minorEastAsia" w:hint="eastAsia"/>
          <w:sz w:val="24"/>
        </w:rPr>
        <w:t xml:space="preserve">S. Atsumi, S. Watanabe, </w:t>
      </w:r>
      <w:r w:rsidR="00A95050">
        <w:rPr>
          <w:sz w:val="24"/>
        </w:rPr>
        <w:t xml:space="preserve">et al., </w:t>
      </w:r>
      <w:r w:rsidR="00A95050" w:rsidRPr="00B53F7F">
        <w:rPr>
          <w:i/>
          <w:iCs/>
          <w:sz w:val="24"/>
        </w:rPr>
        <w:t xml:space="preserve">Rev. Sci. </w:t>
      </w:r>
      <w:proofErr w:type="spellStart"/>
      <w:r w:rsidR="00A95050" w:rsidRPr="00B53F7F">
        <w:rPr>
          <w:i/>
          <w:iCs/>
          <w:sz w:val="24"/>
        </w:rPr>
        <w:t>Instrum</w:t>
      </w:r>
      <w:proofErr w:type="spellEnd"/>
      <w:r w:rsidR="00A95050">
        <w:rPr>
          <w:sz w:val="24"/>
        </w:rPr>
        <w:t xml:space="preserve">. </w:t>
      </w:r>
      <w:r w:rsidR="00A95050" w:rsidRPr="00A95050">
        <w:rPr>
          <w:b/>
          <w:bCs/>
          <w:sz w:val="24"/>
        </w:rPr>
        <w:t>85</w:t>
      </w:r>
      <w:r w:rsidR="00A95050">
        <w:rPr>
          <w:sz w:val="24"/>
        </w:rPr>
        <w:t xml:space="preserve"> </w:t>
      </w:r>
      <w:r w:rsidR="00A95050" w:rsidRPr="00333691">
        <w:rPr>
          <w:sz w:val="24"/>
        </w:rPr>
        <w:t>023502</w:t>
      </w:r>
      <w:r w:rsidR="00A95050">
        <w:rPr>
          <w:sz w:val="24"/>
        </w:rPr>
        <w:t xml:space="preserve"> (2014)</w:t>
      </w:r>
    </w:p>
    <w:p w14:paraId="076BF4DC" w14:textId="2B814D01" w:rsidR="00DB600B" w:rsidRDefault="00A8175E" w:rsidP="00962C3C">
      <w:pPr>
        <w:pStyle w:val="Paragraph"/>
        <w:ind w:firstLine="0"/>
        <w:jc w:val="both"/>
        <w:rPr>
          <w:sz w:val="24"/>
          <w:szCs w:val="24"/>
        </w:rPr>
      </w:pPr>
      <w:r w:rsidRPr="00D75EDA">
        <w:rPr>
          <w:sz w:val="24"/>
          <w:szCs w:val="24"/>
        </w:rPr>
        <w:t>[3]</w:t>
      </w:r>
      <w:r w:rsidR="003B5033" w:rsidRPr="00D75EDA">
        <w:rPr>
          <w:sz w:val="24"/>
          <w:szCs w:val="24"/>
        </w:rPr>
        <w:t xml:space="preserve"> </w:t>
      </w:r>
      <w:r w:rsidR="00D75EDA">
        <w:rPr>
          <w:sz w:val="24"/>
          <w:szCs w:val="24"/>
        </w:rPr>
        <w:t xml:space="preserve">K. </w:t>
      </w:r>
      <w:r w:rsidR="00D75EDA" w:rsidRPr="00D75EDA">
        <w:rPr>
          <w:sz w:val="24"/>
          <w:szCs w:val="24"/>
        </w:rPr>
        <w:t xml:space="preserve">Fujii, </w:t>
      </w:r>
      <w:r w:rsidR="0042461B">
        <w:rPr>
          <w:rFonts w:eastAsiaTheme="minorEastAsia" w:hint="eastAsia"/>
          <w:sz w:val="24"/>
          <w:szCs w:val="24"/>
        </w:rPr>
        <w:t>M. Goto, and S. Morita</w:t>
      </w:r>
      <w:r w:rsidR="00D75EDA">
        <w:rPr>
          <w:sz w:val="24"/>
          <w:szCs w:val="24"/>
        </w:rPr>
        <w:t xml:space="preserve">, </w:t>
      </w:r>
      <w:proofErr w:type="spellStart"/>
      <w:r w:rsidR="00D75EDA" w:rsidRPr="00B53F7F">
        <w:rPr>
          <w:i/>
          <w:iCs/>
          <w:sz w:val="24"/>
          <w:szCs w:val="24"/>
        </w:rPr>
        <w:t>Nucl</w:t>
      </w:r>
      <w:proofErr w:type="spellEnd"/>
      <w:r w:rsidR="00491409" w:rsidRPr="00B53F7F">
        <w:rPr>
          <w:i/>
          <w:iCs/>
          <w:sz w:val="24"/>
          <w:szCs w:val="24"/>
        </w:rPr>
        <w:t>.</w:t>
      </w:r>
      <w:r w:rsidR="00D75EDA" w:rsidRPr="00B53F7F">
        <w:rPr>
          <w:i/>
          <w:iCs/>
          <w:sz w:val="24"/>
          <w:szCs w:val="24"/>
        </w:rPr>
        <w:t xml:space="preserve"> Fusion</w:t>
      </w:r>
      <w:r w:rsidR="00D75EDA" w:rsidRPr="00D75EDA">
        <w:rPr>
          <w:sz w:val="24"/>
          <w:szCs w:val="24"/>
        </w:rPr>
        <w:t xml:space="preserve"> </w:t>
      </w:r>
      <w:r w:rsidR="00D75EDA" w:rsidRPr="00491409">
        <w:rPr>
          <w:b/>
          <w:bCs/>
          <w:sz w:val="24"/>
          <w:szCs w:val="24"/>
        </w:rPr>
        <w:t>55</w:t>
      </w:r>
      <w:r w:rsidR="00D75EDA" w:rsidRPr="00D75EDA">
        <w:rPr>
          <w:sz w:val="24"/>
          <w:szCs w:val="24"/>
        </w:rPr>
        <w:t xml:space="preserve"> 063029</w:t>
      </w:r>
      <w:r w:rsidR="00491409">
        <w:rPr>
          <w:sz w:val="24"/>
          <w:szCs w:val="24"/>
        </w:rPr>
        <w:t xml:space="preserve"> (2015)</w:t>
      </w:r>
    </w:p>
    <w:p w14:paraId="20BCB907" w14:textId="7330553F" w:rsidR="00B8681D" w:rsidRPr="00B8681D" w:rsidRDefault="00787F1F" w:rsidP="00B8681D">
      <w:pPr>
        <w:pStyle w:val="Paragraph"/>
        <w:ind w:firstLine="0"/>
        <w:jc w:val="both"/>
        <w:rPr>
          <w:sz w:val="24"/>
          <w:szCs w:val="24"/>
        </w:rPr>
      </w:pPr>
      <w:r>
        <w:rPr>
          <w:sz w:val="24"/>
          <w:szCs w:val="24"/>
        </w:rPr>
        <w:t xml:space="preserve">[4] </w:t>
      </w:r>
      <w:r w:rsidR="00B8681D">
        <w:rPr>
          <w:sz w:val="24"/>
          <w:szCs w:val="24"/>
        </w:rPr>
        <w:t xml:space="preserve">S. </w:t>
      </w:r>
      <w:r w:rsidR="00B8681D" w:rsidRPr="00B8681D">
        <w:rPr>
          <w:sz w:val="24"/>
          <w:szCs w:val="24"/>
        </w:rPr>
        <w:t xml:space="preserve">Haskey, </w:t>
      </w:r>
      <w:r w:rsidR="00BD18D7">
        <w:rPr>
          <w:rFonts w:eastAsiaTheme="minorEastAsia" w:hint="eastAsia"/>
          <w:sz w:val="24"/>
          <w:szCs w:val="24"/>
        </w:rPr>
        <w:t xml:space="preserve">B. Grieson, </w:t>
      </w:r>
      <w:r w:rsidR="00B8681D">
        <w:rPr>
          <w:sz w:val="24"/>
          <w:szCs w:val="24"/>
        </w:rPr>
        <w:t xml:space="preserve">et al., </w:t>
      </w:r>
      <w:r w:rsidR="00B8681D" w:rsidRPr="00B53F7F">
        <w:rPr>
          <w:i/>
          <w:iCs/>
          <w:sz w:val="24"/>
          <w:szCs w:val="24"/>
        </w:rPr>
        <w:t xml:space="preserve">Rev. Sci. </w:t>
      </w:r>
      <w:proofErr w:type="spellStart"/>
      <w:r w:rsidR="00B8681D" w:rsidRPr="00B53F7F">
        <w:rPr>
          <w:i/>
          <w:iCs/>
          <w:sz w:val="24"/>
          <w:szCs w:val="24"/>
        </w:rPr>
        <w:t>Instrum</w:t>
      </w:r>
      <w:proofErr w:type="spellEnd"/>
      <w:r w:rsidR="00B8681D" w:rsidRPr="00B53F7F">
        <w:rPr>
          <w:i/>
          <w:iCs/>
          <w:sz w:val="24"/>
          <w:szCs w:val="24"/>
        </w:rPr>
        <w:t>.</w:t>
      </w:r>
      <w:r w:rsidR="00B8681D">
        <w:rPr>
          <w:sz w:val="24"/>
          <w:szCs w:val="24"/>
        </w:rPr>
        <w:t xml:space="preserve"> </w:t>
      </w:r>
      <w:r w:rsidR="00B8681D" w:rsidRPr="00B8681D">
        <w:rPr>
          <w:b/>
          <w:bCs/>
          <w:sz w:val="24"/>
          <w:szCs w:val="24"/>
        </w:rPr>
        <w:t>93</w:t>
      </w:r>
      <w:r w:rsidR="00B8681D" w:rsidRPr="00B8681D">
        <w:rPr>
          <w:sz w:val="24"/>
          <w:szCs w:val="24"/>
        </w:rPr>
        <w:t xml:space="preserve"> 103504</w:t>
      </w:r>
      <w:r w:rsidR="00B8681D">
        <w:rPr>
          <w:sz w:val="24"/>
          <w:szCs w:val="24"/>
        </w:rPr>
        <w:t xml:space="preserve"> (</w:t>
      </w:r>
      <w:r w:rsidR="00127241">
        <w:rPr>
          <w:sz w:val="24"/>
          <w:szCs w:val="24"/>
        </w:rPr>
        <w:t>2022</w:t>
      </w:r>
      <w:r w:rsidR="00B8681D">
        <w:rPr>
          <w:sz w:val="24"/>
          <w:szCs w:val="24"/>
        </w:rPr>
        <w:t>)</w:t>
      </w:r>
    </w:p>
    <w:p w14:paraId="71641FAE" w14:textId="20FE2241" w:rsidR="00DB600B" w:rsidRDefault="00787F1F" w:rsidP="006161D1">
      <w:pPr>
        <w:pStyle w:val="Paragraph"/>
        <w:ind w:firstLine="0"/>
        <w:jc w:val="both"/>
        <w:rPr>
          <w:sz w:val="24"/>
          <w:szCs w:val="24"/>
        </w:rPr>
      </w:pPr>
      <w:r>
        <w:rPr>
          <w:sz w:val="24"/>
          <w:szCs w:val="24"/>
        </w:rPr>
        <w:t xml:space="preserve">[5] </w:t>
      </w:r>
      <w:r w:rsidR="00127241">
        <w:rPr>
          <w:sz w:val="24"/>
          <w:szCs w:val="24"/>
        </w:rPr>
        <w:t xml:space="preserve">T. </w:t>
      </w:r>
      <w:r w:rsidR="00127241" w:rsidRPr="00127241">
        <w:rPr>
          <w:sz w:val="24"/>
          <w:szCs w:val="24"/>
        </w:rPr>
        <w:t>Romba</w:t>
      </w:r>
      <w:r w:rsidR="00127241">
        <w:rPr>
          <w:sz w:val="24"/>
          <w:szCs w:val="24"/>
        </w:rPr>
        <w:t xml:space="preserve">, </w:t>
      </w:r>
      <w:r w:rsidR="003568F3">
        <w:rPr>
          <w:rFonts w:eastAsiaTheme="minorEastAsia" w:hint="eastAsia"/>
          <w:sz w:val="24"/>
          <w:szCs w:val="24"/>
        </w:rPr>
        <w:t xml:space="preserve">F. Reimold, O. Ford, </w:t>
      </w:r>
      <w:r w:rsidR="00127241">
        <w:rPr>
          <w:sz w:val="24"/>
          <w:szCs w:val="24"/>
        </w:rPr>
        <w:t>et</w:t>
      </w:r>
      <w:r w:rsidR="00127241" w:rsidRPr="00127241">
        <w:rPr>
          <w:sz w:val="24"/>
          <w:szCs w:val="24"/>
        </w:rPr>
        <w:t xml:space="preserve"> </w:t>
      </w:r>
      <w:r w:rsidR="00127241">
        <w:rPr>
          <w:sz w:val="24"/>
          <w:szCs w:val="24"/>
        </w:rPr>
        <w:t xml:space="preserve">al., </w:t>
      </w:r>
      <w:r w:rsidR="00B53F7F" w:rsidRPr="00B53F7F">
        <w:rPr>
          <w:i/>
          <w:iCs/>
          <w:sz w:val="24"/>
          <w:szCs w:val="24"/>
        </w:rPr>
        <w:t>Plasma Phys. Control. Fusion</w:t>
      </w:r>
      <w:r w:rsidR="00B53F7F">
        <w:rPr>
          <w:sz w:val="24"/>
          <w:szCs w:val="24"/>
        </w:rPr>
        <w:t xml:space="preserve"> </w:t>
      </w:r>
      <w:r w:rsidR="00127241" w:rsidRPr="00B53F7F">
        <w:rPr>
          <w:b/>
          <w:bCs/>
          <w:sz w:val="24"/>
          <w:szCs w:val="24"/>
        </w:rPr>
        <w:t>67</w:t>
      </w:r>
      <w:r w:rsidR="00127241" w:rsidRPr="00127241">
        <w:rPr>
          <w:sz w:val="24"/>
          <w:szCs w:val="24"/>
        </w:rPr>
        <w:t xml:space="preserve"> 055045</w:t>
      </w:r>
      <w:r w:rsidR="00B53F7F">
        <w:rPr>
          <w:sz w:val="24"/>
          <w:szCs w:val="24"/>
        </w:rPr>
        <w:t xml:space="preserve"> (2025)</w:t>
      </w:r>
    </w:p>
    <w:p w14:paraId="5F5DA64D" w14:textId="77777777" w:rsidR="003862C2" w:rsidRPr="00B53F7F" w:rsidRDefault="003862C2" w:rsidP="006161D1">
      <w:pPr>
        <w:pStyle w:val="Paragraph"/>
        <w:ind w:firstLine="0"/>
        <w:jc w:val="both"/>
        <w:rPr>
          <w:sz w:val="24"/>
          <w:szCs w:val="24"/>
        </w:rPr>
      </w:pPr>
    </w:p>
    <w:p w14:paraId="7CDA0FF4" w14:textId="0D836080" w:rsidR="00A3459B" w:rsidRPr="00787F1F" w:rsidRDefault="00DB600B" w:rsidP="00787F1F">
      <w:pPr>
        <w:pStyle w:val="NoSpacing"/>
        <w:rPr>
          <w:rFonts w:ascii="Times New Roman" w:hAnsi="Times New Roman" w:cs="Times New Roman"/>
          <w:color w:val="000000"/>
          <w:szCs w:val="24"/>
        </w:rPr>
      </w:pPr>
      <w:r w:rsidRPr="009274B9">
        <w:rPr>
          <w:rFonts w:ascii="Times New Roman" w:hAnsi="Times New Roman" w:cs="Times New Roman"/>
          <w:b/>
          <w:bCs/>
        </w:rPr>
        <w:t>Specify category</w:t>
      </w:r>
      <w:r w:rsidR="00082DF1">
        <w:rPr>
          <w:rFonts w:ascii="Times New Roman" w:hAnsi="Times New Roman" w:cs="Times New Roman"/>
        </w:rPr>
        <w:t xml:space="preserve"> </w:t>
      </w:r>
      <w:r w:rsidR="00082DF1" w:rsidRPr="00082DF1">
        <w:rPr>
          <w:rFonts w:ascii="Times New Roman" w:hAnsi="Times New Roman" w:cs="Times New Roman"/>
          <w:color w:val="000000"/>
          <w:szCs w:val="24"/>
        </w:rPr>
        <w:t>Magnetic confinement fusion</w:t>
      </w:r>
    </w:p>
    <w:sectPr w:rsidR="00A3459B" w:rsidRPr="00787F1F" w:rsidSect="00D9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27F2" w14:textId="77777777" w:rsidR="008B3CF9" w:rsidRDefault="008B3CF9" w:rsidP="003E14F0">
      <w:r>
        <w:separator/>
      </w:r>
    </w:p>
  </w:endnote>
  <w:endnote w:type="continuationSeparator" w:id="0">
    <w:p w14:paraId="206A2E44" w14:textId="77777777" w:rsidR="008B3CF9" w:rsidRDefault="008B3CF9"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 imes New Roman">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BED3" w14:textId="77777777" w:rsidR="008B3CF9" w:rsidRDefault="008B3CF9" w:rsidP="003E14F0">
      <w:r>
        <w:separator/>
      </w:r>
    </w:p>
  </w:footnote>
  <w:footnote w:type="continuationSeparator" w:id="0">
    <w:p w14:paraId="30989489" w14:textId="77777777" w:rsidR="008B3CF9" w:rsidRDefault="008B3CF9"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407FC"/>
    <w:multiLevelType w:val="multilevel"/>
    <w:tmpl w:val="109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3897730">
    <w:abstractNumId w:val="0"/>
  </w:num>
  <w:num w:numId="2" w16cid:durableId="601692168">
    <w:abstractNumId w:val="2"/>
  </w:num>
  <w:num w:numId="3" w16cid:durableId="115449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C9"/>
    <w:rsid w:val="0000224B"/>
    <w:rsid w:val="00010CB2"/>
    <w:rsid w:val="0001558B"/>
    <w:rsid w:val="00023BF7"/>
    <w:rsid w:val="00052A94"/>
    <w:rsid w:val="000563DE"/>
    <w:rsid w:val="00061631"/>
    <w:rsid w:val="00067EFD"/>
    <w:rsid w:val="00082DF1"/>
    <w:rsid w:val="00085FC9"/>
    <w:rsid w:val="000913FD"/>
    <w:rsid w:val="000979A3"/>
    <w:rsid w:val="000B53CF"/>
    <w:rsid w:val="000E2A83"/>
    <w:rsid w:val="000E51FF"/>
    <w:rsid w:val="00101F2B"/>
    <w:rsid w:val="00106416"/>
    <w:rsid w:val="00106F40"/>
    <w:rsid w:val="00110667"/>
    <w:rsid w:val="00121653"/>
    <w:rsid w:val="00122736"/>
    <w:rsid w:val="00127241"/>
    <w:rsid w:val="0012781E"/>
    <w:rsid w:val="00130850"/>
    <w:rsid w:val="00136994"/>
    <w:rsid w:val="001562AE"/>
    <w:rsid w:val="00157FB6"/>
    <w:rsid w:val="001624B9"/>
    <w:rsid w:val="001A0630"/>
    <w:rsid w:val="001B0EB1"/>
    <w:rsid w:val="001B4F41"/>
    <w:rsid w:val="001E0D1D"/>
    <w:rsid w:val="001E1BB0"/>
    <w:rsid w:val="001F363C"/>
    <w:rsid w:val="001F77B9"/>
    <w:rsid w:val="00223A76"/>
    <w:rsid w:val="002416EB"/>
    <w:rsid w:val="00242EF7"/>
    <w:rsid w:val="0026604C"/>
    <w:rsid w:val="00273385"/>
    <w:rsid w:val="00283822"/>
    <w:rsid w:val="002A66EE"/>
    <w:rsid w:val="002D1AF0"/>
    <w:rsid w:val="002D2B09"/>
    <w:rsid w:val="002F203B"/>
    <w:rsid w:val="003020BB"/>
    <w:rsid w:val="00313E8B"/>
    <w:rsid w:val="00322B65"/>
    <w:rsid w:val="00331512"/>
    <w:rsid w:val="00333691"/>
    <w:rsid w:val="00335FD3"/>
    <w:rsid w:val="0035680F"/>
    <w:rsid w:val="003568F3"/>
    <w:rsid w:val="00373F59"/>
    <w:rsid w:val="003862C2"/>
    <w:rsid w:val="0039136E"/>
    <w:rsid w:val="00393640"/>
    <w:rsid w:val="003B5033"/>
    <w:rsid w:val="003C7139"/>
    <w:rsid w:val="003E14F0"/>
    <w:rsid w:val="003E155A"/>
    <w:rsid w:val="003F2F25"/>
    <w:rsid w:val="003F6296"/>
    <w:rsid w:val="00417425"/>
    <w:rsid w:val="0042461B"/>
    <w:rsid w:val="00426B37"/>
    <w:rsid w:val="004453CB"/>
    <w:rsid w:val="0044547B"/>
    <w:rsid w:val="004557DE"/>
    <w:rsid w:val="00460B50"/>
    <w:rsid w:val="004725F0"/>
    <w:rsid w:val="004756B9"/>
    <w:rsid w:val="00486499"/>
    <w:rsid w:val="00491409"/>
    <w:rsid w:val="004C3A6A"/>
    <w:rsid w:val="004E63CA"/>
    <w:rsid w:val="004E7A2A"/>
    <w:rsid w:val="0051575C"/>
    <w:rsid w:val="0051608C"/>
    <w:rsid w:val="00523B3D"/>
    <w:rsid w:val="0053091B"/>
    <w:rsid w:val="00531EAE"/>
    <w:rsid w:val="005562D1"/>
    <w:rsid w:val="005577B0"/>
    <w:rsid w:val="00576773"/>
    <w:rsid w:val="00580C3E"/>
    <w:rsid w:val="00592A55"/>
    <w:rsid w:val="005A2BB6"/>
    <w:rsid w:val="005E11B8"/>
    <w:rsid w:val="00604CF7"/>
    <w:rsid w:val="006161D1"/>
    <w:rsid w:val="006251A4"/>
    <w:rsid w:val="006373F0"/>
    <w:rsid w:val="006637F9"/>
    <w:rsid w:val="00667FE4"/>
    <w:rsid w:val="00677C23"/>
    <w:rsid w:val="006A44E6"/>
    <w:rsid w:val="006D63BE"/>
    <w:rsid w:val="006D6E21"/>
    <w:rsid w:val="006F3125"/>
    <w:rsid w:val="007443C8"/>
    <w:rsid w:val="00745806"/>
    <w:rsid w:val="00750EFD"/>
    <w:rsid w:val="0076402F"/>
    <w:rsid w:val="00764699"/>
    <w:rsid w:val="007724D1"/>
    <w:rsid w:val="0078518C"/>
    <w:rsid w:val="00787F1F"/>
    <w:rsid w:val="0079601F"/>
    <w:rsid w:val="007B7648"/>
    <w:rsid w:val="007C1999"/>
    <w:rsid w:val="007C2CC9"/>
    <w:rsid w:val="007C54E7"/>
    <w:rsid w:val="007F4862"/>
    <w:rsid w:val="007F7FC7"/>
    <w:rsid w:val="0081697D"/>
    <w:rsid w:val="008203D2"/>
    <w:rsid w:val="00844BEE"/>
    <w:rsid w:val="00864EAA"/>
    <w:rsid w:val="00871436"/>
    <w:rsid w:val="00871DBE"/>
    <w:rsid w:val="0088751D"/>
    <w:rsid w:val="00892DA4"/>
    <w:rsid w:val="008B3CF9"/>
    <w:rsid w:val="008D54C6"/>
    <w:rsid w:val="008E67CD"/>
    <w:rsid w:val="008F25D0"/>
    <w:rsid w:val="009103B3"/>
    <w:rsid w:val="009268D7"/>
    <w:rsid w:val="009274B9"/>
    <w:rsid w:val="009341CC"/>
    <w:rsid w:val="00952974"/>
    <w:rsid w:val="00962C3C"/>
    <w:rsid w:val="00970C1E"/>
    <w:rsid w:val="0097616E"/>
    <w:rsid w:val="009860C0"/>
    <w:rsid w:val="009A06EC"/>
    <w:rsid w:val="00A22A33"/>
    <w:rsid w:val="00A3459B"/>
    <w:rsid w:val="00A620A0"/>
    <w:rsid w:val="00A627CE"/>
    <w:rsid w:val="00A67172"/>
    <w:rsid w:val="00A72CF4"/>
    <w:rsid w:val="00A7709B"/>
    <w:rsid w:val="00A8175E"/>
    <w:rsid w:val="00A83F23"/>
    <w:rsid w:val="00A924F9"/>
    <w:rsid w:val="00A95050"/>
    <w:rsid w:val="00A965C5"/>
    <w:rsid w:val="00AA2763"/>
    <w:rsid w:val="00AA2DC9"/>
    <w:rsid w:val="00AA41A5"/>
    <w:rsid w:val="00AB112F"/>
    <w:rsid w:val="00AB2E77"/>
    <w:rsid w:val="00AB4EB9"/>
    <w:rsid w:val="00AC28B4"/>
    <w:rsid w:val="00AD5EA5"/>
    <w:rsid w:val="00AD75E5"/>
    <w:rsid w:val="00B248C9"/>
    <w:rsid w:val="00B42552"/>
    <w:rsid w:val="00B53D22"/>
    <w:rsid w:val="00B53F7F"/>
    <w:rsid w:val="00B62427"/>
    <w:rsid w:val="00B659BB"/>
    <w:rsid w:val="00B66C07"/>
    <w:rsid w:val="00B8681D"/>
    <w:rsid w:val="00B970ED"/>
    <w:rsid w:val="00BD18D7"/>
    <w:rsid w:val="00C150E3"/>
    <w:rsid w:val="00C27377"/>
    <w:rsid w:val="00C3492B"/>
    <w:rsid w:val="00C34F16"/>
    <w:rsid w:val="00C362E3"/>
    <w:rsid w:val="00C37DD7"/>
    <w:rsid w:val="00C46DD7"/>
    <w:rsid w:val="00C47360"/>
    <w:rsid w:val="00C758A1"/>
    <w:rsid w:val="00C80678"/>
    <w:rsid w:val="00C82DE2"/>
    <w:rsid w:val="00C870D2"/>
    <w:rsid w:val="00CB231A"/>
    <w:rsid w:val="00CC4636"/>
    <w:rsid w:val="00CD1C70"/>
    <w:rsid w:val="00CD37BE"/>
    <w:rsid w:val="00CD52F9"/>
    <w:rsid w:val="00CE6152"/>
    <w:rsid w:val="00CF3D8B"/>
    <w:rsid w:val="00CF7D91"/>
    <w:rsid w:val="00D13D2C"/>
    <w:rsid w:val="00D14259"/>
    <w:rsid w:val="00D23D20"/>
    <w:rsid w:val="00D31259"/>
    <w:rsid w:val="00D4266B"/>
    <w:rsid w:val="00D7090E"/>
    <w:rsid w:val="00D75EDA"/>
    <w:rsid w:val="00D956BD"/>
    <w:rsid w:val="00D9631B"/>
    <w:rsid w:val="00DA3C1F"/>
    <w:rsid w:val="00DA5F34"/>
    <w:rsid w:val="00DB600B"/>
    <w:rsid w:val="00DC12F8"/>
    <w:rsid w:val="00DC5EE6"/>
    <w:rsid w:val="00DF3170"/>
    <w:rsid w:val="00E0461C"/>
    <w:rsid w:val="00E055AA"/>
    <w:rsid w:val="00E223DF"/>
    <w:rsid w:val="00E25C87"/>
    <w:rsid w:val="00E26DDB"/>
    <w:rsid w:val="00E3671E"/>
    <w:rsid w:val="00E431B1"/>
    <w:rsid w:val="00E43659"/>
    <w:rsid w:val="00E45785"/>
    <w:rsid w:val="00E66B8B"/>
    <w:rsid w:val="00E72EBA"/>
    <w:rsid w:val="00E732BA"/>
    <w:rsid w:val="00E7649D"/>
    <w:rsid w:val="00E8068D"/>
    <w:rsid w:val="00E80DE5"/>
    <w:rsid w:val="00E92581"/>
    <w:rsid w:val="00E92657"/>
    <w:rsid w:val="00E92B11"/>
    <w:rsid w:val="00EA1636"/>
    <w:rsid w:val="00EA4230"/>
    <w:rsid w:val="00EC41B0"/>
    <w:rsid w:val="00EF1201"/>
    <w:rsid w:val="00F03981"/>
    <w:rsid w:val="00F111D8"/>
    <w:rsid w:val="00F158CC"/>
    <w:rsid w:val="00F34B40"/>
    <w:rsid w:val="00F54917"/>
    <w:rsid w:val="00F553F1"/>
    <w:rsid w:val="00F62524"/>
    <w:rsid w:val="00F70283"/>
    <w:rsid w:val="00F7118D"/>
    <w:rsid w:val="00F7359A"/>
    <w:rsid w:val="00F80C7D"/>
    <w:rsid w:val="00F970F6"/>
    <w:rsid w:val="00FB4185"/>
    <w:rsid w:val="00FD4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5074B"/>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character" w:styleId="UnresolvedMention">
    <w:name w:val="Unresolved Mention"/>
    <w:uiPriority w:val="99"/>
    <w:semiHidden/>
    <w:unhideWhenUsed/>
    <w:rsid w:val="00F03981"/>
    <w:rPr>
      <w:color w:val="605E5C"/>
      <w:shd w:val="clear" w:color="auto" w:fill="E1DFDD"/>
    </w:rPr>
  </w:style>
  <w:style w:type="paragraph" w:styleId="Revision">
    <w:name w:val="Revision"/>
    <w:hidden/>
    <w:uiPriority w:val="99"/>
    <w:semiHidden/>
    <w:rsid w:val="00136994"/>
    <w:rPr>
      <w:rFonts w:ascii="Times New Roman" w:eastAsia="Times New Roman" w:hAnsi="Times New Roman"/>
      <w:lang w:eastAsia="ja-JP"/>
    </w:rPr>
  </w:style>
  <w:style w:type="character" w:styleId="FollowedHyperlink">
    <w:name w:val="FollowedHyperlink"/>
    <w:basedOn w:val="DefaultParagraphFont"/>
    <w:uiPriority w:val="99"/>
    <w:semiHidden/>
    <w:unhideWhenUsed/>
    <w:rsid w:val="003B5033"/>
    <w:rPr>
      <w:color w:val="954F72" w:themeColor="followedHyperlink"/>
      <w:u w:val="single"/>
    </w:rPr>
  </w:style>
  <w:style w:type="paragraph" w:styleId="NoSpacing">
    <w:name w:val="No Spacing"/>
    <w:uiPriority w:val="1"/>
    <w:qFormat/>
    <w:rsid w:val="00B659B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73385"/>
    <w:rPr>
      <w:sz w:val="18"/>
      <w:szCs w:val="18"/>
    </w:rPr>
  </w:style>
  <w:style w:type="paragraph" w:styleId="CommentText">
    <w:name w:val="annotation text"/>
    <w:basedOn w:val="Normal"/>
    <w:link w:val="CommentTextChar"/>
    <w:uiPriority w:val="99"/>
    <w:unhideWhenUsed/>
    <w:rsid w:val="00273385"/>
  </w:style>
  <w:style w:type="character" w:customStyle="1" w:styleId="CommentTextChar">
    <w:name w:val="Comment Text Char"/>
    <w:basedOn w:val="DefaultParagraphFont"/>
    <w:link w:val="CommentText"/>
    <w:uiPriority w:val="99"/>
    <w:rsid w:val="00273385"/>
    <w:rPr>
      <w:rFonts w:ascii="Times New Roman" w:eastAsia="Times New Roman" w:hAnsi="Times New Roman"/>
      <w:lang w:eastAsia="ja-JP"/>
    </w:rPr>
  </w:style>
  <w:style w:type="paragraph" w:styleId="CommentSubject">
    <w:name w:val="annotation subject"/>
    <w:basedOn w:val="CommentText"/>
    <w:next w:val="CommentText"/>
    <w:link w:val="CommentSubjectChar"/>
    <w:uiPriority w:val="99"/>
    <w:semiHidden/>
    <w:unhideWhenUsed/>
    <w:rsid w:val="00273385"/>
    <w:rPr>
      <w:b/>
      <w:bCs/>
    </w:rPr>
  </w:style>
  <w:style w:type="character" w:customStyle="1" w:styleId="CommentSubjectChar">
    <w:name w:val="Comment Subject Char"/>
    <w:basedOn w:val="CommentTextChar"/>
    <w:link w:val="CommentSubject"/>
    <w:uiPriority w:val="99"/>
    <w:semiHidden/>
    <w:rsid w:val="00273385"/>
    <w:rPr>
      <w:rFonts w:ascii="Times New Roman" w:eastAsia="Times New Roman" w:hAnsi="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jiik@orn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b3dbd43-4c4b-4544-9f8a-0553f9f5f25e}" enabled="0" method="" siteId="{db3dbd43-4c4b-4544-9f8a-0553f9f5f25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2557</Characters>
  <Application>Microsoft Office Word</Application>
  <DocSecurity>0</DocSecurity>
  <Lines>46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2986</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Fujii, Keisuke</cp:lastModifiedBy>
  <cp:revision>13</cp:revision>
  <cp:lastPrinted>2012-01-20T20:14:00Z</cp:lastPrinted>
  <dcterms:created xsi:type="dcterms:W3CDTF">2026-03-09T20:45:00Z</dcterms:created>
  <dcterms:modified xsi:type="dcterms:W3CDTF">2026-03-27T13:54:00Z</dcterms:modified>
</cp:coreProperties>
</file>