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65DD" w14:textId="2DF29067" w:rsidR="009935C7" w:rsidRDefault="00C07E33" w:rsidP="00C07E33">
      <w:pPr>
        <w:jc w:val="center"/>
        <w:rPr>
          <w:b/>
          <w:sz w:val="24"/>
        </w:rPr>
      </w:pPr>
      <w:bookmarkStart w:id="0" w:name="_Hlk93674651"/>
      <w:r w:rsidRPr="00C07E33">
        <w:rPr>
          <w:b/>
          <w:sz w:val="24"/>
        </w:rPr>
        <w:t>Pulse-Dilated Gamma Reaction History at NIF</w:t>
      </w:r>
      <w:r>
        <w:rPr>
          <w:b/>
          <w:sz w:val="24"/>
        </w:rPr>
        <w:t>:</w:t>
      </w:r>
      <w:r w:rsidRPr="00C07E33">
        <w:rPr>
          <w:b/>
          <w:sz w:val="24"/>
        </w:rPr>
        <w:t xml:space="preserve"> Calibration, Response Characterization, and Recent Burn-History Resu</w:t>
      </w:r>
      <w:r>
        <w:rPr>
          <w:b/>
          <w:sz w:val="24"/>
        </w:rPr>
        <w:t>lts</w:t>
      </w:r>
      <w:bookmarkEnd w:id="0"/>
    </w:p>
    <w:p w14:paraId="0F3B036B" w14:textId="77777777" w:rsidR="00C07E33" w:rsidRPr="00663F85" w:rsidRDefault="00C07E33" w:rsidP="00C07E33">
      <w:pPr>
        <w:jc w:val="center"/>
        <w:rPr>
          <w:b/>
          <w:sz w:val="24"/>
        </w:rPr>
      </w:pPr>
    </w:p>
    <w:p w14:paraId="6E16BABB" w14:textId="59B7D725" w:rsidR="009935C7" w:rsidRPr="000A7D49" w:rsidRDefault="009935C7" w:rsidP="009935C7">
      <w:pPr>
        <w:jc w:val="center"/>
        <w:rPr>
          <w:sz w:val="24"/>
        </w:rPr>
      </w:pPr>
      <w:bookmarkStart w:id="1" w:name="_Hlk93674591"/>
      <w:r>
        <w:rPr>
          <w:sz w:val="24"/>
        </w:rPr>
        <w:t>Clement Trosseille</w:t>
      </w:r>
      <w:r w:rsidRPr="00085FC9">
        <w:rPr>
          <w:sz w:val="24"/>
          <w:vertAlign w:val="superscript"/>
        </w:rPr>
        <w:t>1</w:t>
      </w:r>
      <w:r>
        <w:rPr>
          <w:sz w:val="24"/>
        </w:rPr>
        <w:t xml:space="preserve">, </w:t>
      </w:r>
      <w:r w:rsidR="00842899">
        <w:rPr>
          <w:sz w:val="24"/>
        </w:rPr>
        <w:t>Terance Hilsabeck</w:t>
      </w:r>
      <w:r w:rsidR="00842899" w:rsidRPr="00842899">
        <w:rPr>
          <w:sz w:val="24"/>
          <w:vertAlign w:val="superscript"/>
        </w:rPr>
        <w:t>1</w:t>
      </w:r>
      <w:r w:rsidR="00842899">
        <w:rPr>
          <w:sz w:val="24"/>
        </w:rPr>
        <w:t>,</w:t>
      </w:r>
      <w:r w:rsidR="00517506">
        <w:rPr>
          <w:sz w:val="24"/>
        </w:rPr>
        <w:t xml:space="preserve"> Jorge Carrera,</w:t>
      </w:r>
      <w:r w:rsidR="00517506" w:rsidRPr="00517506">
        <w:rPr>
          <w:sz w:val="24"/>
          <w:vertAlign w:val="superscript"/>
        </w:rPr>
        <w:t>1</w:t>
      </w:r>
      <w:r w:rsidR="00517506">
        <w:rPr>
          <w:sz w:val="24"/>
        </w:rPr>
        <w:t xml:space="preserve"> Robert Dwyer,</w:t>
      </w:r>
      <w:r w:rsidR="00517506" w:rsidRPr="00517506">
        <w:rPr>
          <w:sz w:val="24"/>
          <w:vertAlign w:val="superscript"/>
        </w:rPr>
        <w:t>2</w:t>
      </w:r>
      <w:r w:rsidR="00517506">
        <w:rPr>
          <w:sz w:val="24"/>
        </w:rPr>
        <w:t xml:space="preserve"> Hermann Geppert-Kleinrath,</w:t>
      </w:r>
      <w:r w:rsidR="00517506" w:rsidRPr="00517506">
        <w:rPr>
          <w:sz w:val="24"/>
          <w:vertAlign w:val="superscript"/>
        </w:rPr>
        <w:t>2</w:t>
      </w:r>
      <w:r w:rsidR="00517506">
        <w:rPr>
          <w:sz w:val="24"/>
        </w:rPr>
        <w:t xml:space="preserve"> Jon Gjemso,</w:t>
      </w:r>
      <w:r w:rsidR="00517506" w:rsidRPr="00517506">
        <w:rPr>
          <w:sz w:val="24"/>
          <w:vertAlign w:val="superscript"/>
        </w:rPr>
        <w:t>1</w:t>
      </w:r>
      <w:r w:rsidR="00517506">
        <w:rPr>
          <w:sz w:val="24"/>
        </w:rPr>
        <w:t xml:space="preserve"> </w:t>
      </w:r>
      <w:r w:rsidR="00D30AA8">
        <w:rPr>
          <w:sz w:val="24"/>
        </w:rPr>
        <w:t>Yongho Kim,</w:t>
      </w:r>
      <w:r w:rsidR="00D30AA8" w:rsidRPr="00D30AA8">
        <w:rPr>
          <w:sz w:val="24"/>
          <w:vertAlign w:val="superscript"/>
        </w:rPr>
        <w:t>2</w:t>
      </w:r>
      <w:r w:rsidR="00D30AA8">
        <w:rPr>
          <w:sz w:val="24"/>
        </w:rPr>
        <w:t xml:space="preserve"> </w:t>
      </w:r>
      <w:r w:rsidR="00517506">
        <w:rPr>
          <w:sz w:val="24"/>
        </w:rPr>
        <w:t>Andrew MacPhee,</w:t>
      </w:r>
      <w:r w:rsidR="00517506" w:rsidRPr="00517506">
        <w:rPr>
          <w:sz w:val="24"/>
          <w:vertAlign w:val="superscript"/>
        </w:rPr>
        <w:t>1</w:t>
      </w:r>
      <w:r w:rsidR="00517506">
        <w:rPr>
          <w:sz w:val="24"/>
        </w:rPr>
        <w:t xml:space="preserve"> Eddie Mariscal,</w:t>
      </w:r>
      <w:r w:rsidR="00517506" w:rsidRPr="00517506">
        <w:rPr>
          <w:sz w:val="24"/>
          <w:vertAlign w:val="superscript"/>
        </w:rPr>
        <w:t>1</w:t>
      </w:r>
      <w:r w:rsidR="00517506">
        <w:rPr>
          <w:sz w:val="24"/>
        </w:rPr>
        <w:t xml:space="preserve"> Kevin Meaney,</w:t>
      </w:r>
      <w:r w:rsidR="00517506" w:rsidRPr="00517506">
        <w:rPr>
          <w:sz w:val="24"/>
          <w:vertAlign w:val="superscript"/>
        </w:rPr>
        <w:t>2</w:t>
      </w:r>
      <w:r w:rsidR="00517506">
        <w:rPr>
          <w:sz w:val="24"/>
        </w:rPr>
        <w:t xml:space="preserve"> Nicholas Ruof,</w:t>
      </w:r>
      <w:r w:rsidR="00517506" w:rsidRPr="00517506">
        <w:rPr>
          <w:sz w:val="24"/>
          <w:vertAlign w:val="superscript"/>
        </w:rPr>
        <w:t>1</w:t>
      </w:r>
      <w:r w:rsidR="00517506">
        <w:rPr>
          <w:sz w:val="24"/>
        </w:rPr>
        <w:t xml:space="preserve"> David Schlossberg</w:t>
      </w:r>
      <w:r w:rsidR="00517506" w:rsidRPr="00517506">
        <w:rPr>
          <w:sz w:val="24"/>
          <w:vertAlign w:val="superscript"/>
        </w:rPr>
        <w:t>1</w:t>
      </w:r>
    </w:p>
    <w:bookmarkEnd w:id="1"/>
    <w:p w14:paraId="7CB3B7F9" w14:textId="77777777" w:rsidR="00430910" w:rsidRDefault="00430910" w:rsidP="009935C7">
      <w:pPr>
        <w:rPr>
          <w:sz w:val="24"/>
        </w:rPr>
      </w:pPr>
    </w:p>
    <w:p w14:paraId="09FF2B62" w14:textId="77777777" w:rsidR="009935C7" w:rsidRDefault="009935C7" w:rsidP="009935C7">
      <w:pPr>
        <w:jc w:val="center"/>
        <w:rPr>
          <w:i/>
          <w:sz w:val="24"/>
        </w:rPr>
      </w:pPr>
      <w:r>
        <w:rPr>
          <w:i/>
          <w:sz w:val="24"/>
          <w:vertAlign w:val="superscript"/>
        </w:rPr>
        <w:t>1</w:t>
      </w:r>
      <w:r>
        <w:rPr>
          <w:i/>
          <w:sz w:val="24"/>
        </w:rPr>
        <w:t>Lawrence Livermore National Laboratory, Livermore, California, United States</w:t>
      </w:r>
    </w:p>
    <w:p w14:paraId="761CD8B3" w14:textId="341183A0" w:rsidR="00855164" w:rsidRDefault="00855164" w:rsidP="00855164">
      <w:pPr>
        <w:jc w:val="center"/>
        <w:rPr>
          <w:i/>
          <w:sz w:val="24"/>
        </w:rPr>
      </w:pPr>
      <w:r>
        <w:rPr>
          <w:i/>
          <w:sz w:val="24"/>
          <w:vertAlign w:val="superscript"/>
        </w:rPr>
        <w:t>2</w:t>
      </w:r>
      <w:r>
        <w:rPr>
          <w:i/>
          <w:sz w:val="24"/>
        </w:rPr>
        <w:t xml:space="preserve">Los Alamos National Laboratory, </w:t>
      </w:r>
      <w:r w:rsidR="00B064CA" w:rsidRPr="00B064CA">
        <w:rPr>
          <w:i/>
          <w:sz w:val="24"/>
        </w:rPr>
        <w:t>Los Alamos, New Mexico,</w:t>
      </w:r>
      <w:r w:rsidR="00B064CA">
        <w:rPr>
          <w:i/>
          <w:sz w:val="24"/>
        </w:rPr>
        <w:t xml:space="preserve"> </w:t>
      </w:r>
      <w:r w:rsidR="00B064CA" w:rsidRPr="00B064CA">
        <w:rPr>
          <w:i/>
          <w:sz w:val="24"/>
        </w:rPr>
        <w:t>U</w:t>
      </w:r>
      <w:r w:rsidR="00B064CA">
        <w:rPr>
          <w:i/>
          <w:sz w:val="24"/>
        </w:rPr>
        <w:t xml:space="preserve">nited </w:t>
      </w:r>
      <w:r w:rsidR="00B064CA" w:rsidRPr="00B064CA">
        <w:rPr>
          <w:i/>
          <w:sz w:val="24"/>
        </w:rPr>
        <w:t>S</w:t>
      </w:r>
      <w:r w:rsidR="00B064CA">
        <w:rPr>
          <w:i/>
          <w:sz w:val="24"/>
        </w:rPr>
        <w:t>tates</w:t>
      </w:r>
    </w:p>
    <w:p w14:paraId="7C0F0D6F" w14:textId="77777777" w:rsidR="00AA0A87" w:rsidRDefault="00AA0A87" w:rsidP="009935C7">
      <w:pPr>
        <w:jc w:val="center"/>
        <w:rPr>
          <w:i/>
          <w:sz w:val="24"/>
        </w:rPr>
      </w:pPr>
    </w:p>
    <w:p w14:paraId="390D183E" w14:textId="67031C80" w:rsidR="009935C7" w:rsidRDefault="009935C7" w:rsidP="009935C7">
      <w:pPr>
        <w:jc w:val="center"/>
        <w:rPr>
          <w:iCs/>
          <w:sz w:val="24"/>
          <w:u w:val="single"/>
        </w:rPr>
      </w:pPr>
      <w:r>
        <w:rPr>
          <w:iCs/>
          <w:sz w:val="24"/>
        </w:rPr>
        <w:t xml:space="preserve">Corresponding Author Email: </w:t>
      </w:r>
      <w:hyperlink r:id="rId5" w:history="1">
        <w:r>
          <w:rPr>
            <w:rStyle w:val="Hyperlink"/>
            <w:iCs/>
            <w:sz w:val="24"/>
          </w:rPr>
          <w:t>trosseille1@llnl.gov</w:t>
        </w:r>
      </w:hyperlink>
    </w:p>
    <w:p w14:paraId="4667C43C" w14:textId="77777777" w:rsidR="009935C7" w:rsidRDefault="009935C7" w:rsidP="009935C7">
      <w:pPr>
        <w:rPr>
          <w:iCs/>
          <w:sz w:val="24"/>
        </w:rPr>
      </w:pPr>
    </w:p>
    <w:p w14:paraId="50E30A19" w14:textId="77777777" w:rsidR="009935C7" w:rsidRDefault="009935C7" w:rsidP="009935C7">
      <w:pPr>
        <w:rPr>
          <w:iCs/>
          <w:sz w:val="24"/>
        </w:rPr>
      </w:pPr>
    </w:p>
    <w:p w14:paraId="03EEA3B5" w14:textId="3E092CAB" w:rsidR="00430910" w:rsidRDefault="003604A9" w:rsidP="00430910">
      <w:pPr>
        <w:pStyle w:val="Paragraph"/>
        <w:ind w:firstLine="0"/>
        <w:jc w:val="both"/>
        <w:rPr>
          <w:sz w:val="24"/>
        </w:rPr>
      </w:pPr>
      <w:r w:rsidRPr="003604A9">
        <w:rPr>
          <w:iCs/>
          <w:sz w:val="24"/>
        </w:rPr>
        <w:t>Electron pulse-dilation (PD) enhanced diagnostics</w:t>
      </w:r>
      <w:r w:rsidRPr="003604A9">
        <w:rPr>
          <w:iCs/>
          <w:sz w:val="24"/>
          <w:vertAlign w:val="superscript"/>
        </w:rPr>
        <w:t>1</w:t>
      </w:r>
      <w:r w:rsidRPr="003604A9">
        <w:rPr>
          <w:iCs/>
          <w:sz w:val="24"/>
        </w:rPr>
        <w:t xml:space="preserve"> are becoming </w:t>
      </w:r>
      <w:r w:rsidR="00A24A19">
        <w:rPr>
          <w:iCs/>
          <w:sz w:val="24"/>
        </w:rPr>
        <w:t>indispensable</w:t>
      </w:r>
      <w:r w:rsidRPr="003604A9">
        <w:rPr>
          <w:iCs/>
          <w:sz w:val="24"/>
        </w:rPr>
        <w:t xml:space="preserve"> at high-energy-density facilities such as the National Ignition Facility (NIF) because they can resolve timescales shorter than 10 ps. Their utility has been </w:t>
      </w:r>
      <w:r w:rsidR="007D6729" w:rsidRPr="003604A9">
        <w:rPr>
          <w:iCs/>
          <w:sz w:val="24"/>
        </w:rPr>
        <w:t xml:space="preserve">increasingly </w:t>
      </w:r>
      <w:r w:rsidRPr="003604A9">
        <w:rPr>
          <w:iCs/>
          <w:sz w:val="24"/>
        </w:rPr>
        <w:t xml:space="preserve">demonstrated in recent years as </w:t>
      </w:r>
      <w:r w:rsidR="007D6729">
        <w:rPr>
          <w:iCs/>
          <w:sz w:val="24"/>
        </w:rPr>
        <w:t>I</w:t>
      </w:r>
      <w:r w:rsidRPr="003604A9">
        <w:rPr>
          <w:iCs/>
          <w:sz w:val="24"/>
        </w:rPr>
        <w:t xml:space="preserve">nertial </w:t>
      </w:r>
      <w:r w:rsidR="007D6729">
        <w:rPr>
          <w:iCs/>
          <w:sz w:val="24"/>
        </w:rPr>
        <w:t>C</w:t>
      </w:r>
      <w:r w:rsidRPr="003604A9">
        <w:rPr>
          <w:iCs/>
          <w:sz w:val="24"/>
        </w:rPr>
        <w:t xml:space="preserve">onfinement </w:t>
      </w:r>
      <w:r w:rsidR="007D6729">
        <w:rPr>
          <w:iCs/>
          <w:sz w:val="24"/>
        </w:rPr>
        <w:t>F</w:t>
      </w:r>
      <w:r w:rsidRPr="003604A9">
        <w:rPr>
          <w:iCs/>
          <w:sz w:val="24"/>
        </w:rPr>
        <w:t>usion (ICF) experiments at NIF have achieved burning-plasma and, ultimately, fusion-ignition conditions,</w:t>
      </w:r>
      <w:r w:rsidRPr="003604A9">
        <w:rPr>
          <w:iCs/>
          <w:sz w:val="24"/>
          <w:vertAlign w:val="superscript"/>
        </w:rPr>
        <w:t>2</w:t>
      </w:r>
      <w:r w:rsidRPr="003604A9">
        <w:rPr>
          <w:iCs/>
          <w:sz w:val="24"/>
        </w:rPr>
        <w:t xml:space="preserve"> which are associated with more intense, shorter-duration burns. One example is NIF’s Gamma Reaction History (GRH) diagnostic,</w:t>
      </w:r>
      <w:r w:rsidRPr="003604A9">
        <w:rPr>
          <w:iCs/>
          <w:sz w:val="24"/>
          <w:vertAlign w:val="superscript"/>
        </w:rPr>
        <w:t>3</w:t>
      </w:r>
      <w:r w:rsidRPr="003604A9">
        <w:rPr>
          <w:iCs/>
          <w:sz w:val="24"/>
        </w:rPr>
        <w:t xml:space="preserve"> which measures the neutron production rate during ICF experiments. Previously limited by the </w:t>
      </w:r>
      <w:r w:rsidR="00977EBB">
        <w:rPr>
          <w:iCs/>
          <w:sz w:val="24"/>
        </w:rPr>
        <w:t xml:space="preserve">on-the-order-of 100 </w:t>
      </w:r>
      <w:proofErr w:type="spellStart"/>
      <w:r w:rsidR="00977EBB">
        <w:rPr>
          <w:iCs/>
          <w:sz w:val="24"/>
        </w:rPr>
        <w:t>ps</w:t>
      </w:r>
      <w:proofErr w:type="spellEnd"/>
      <w:r w:rsidR="00977EBB">
        <w:rPr>
          <w:iCs/>
          <w:sz w:val="24"/>
        </w:rPr>
        <w:t xml:space="preserve"> </w:t>
      </w:r>
      <w:r w:rsidRPr="003604A9">
        <w:rPr>
          <w:iCs/>
          <w:sz w:val="24"/>
        </w:rPr>
        <w:t>temporal response of its photomultiplier tube (PMT), GRH is now equipped with a pulse-dilation PMT providing temporal magnification up to 40. Interpreting data acquired with the PD-PMT requires careful calibration of the magnification profile and characterization of the impact of space-charge broadening on the instrument response function. We will present results from experiments designed to measure these characteristics and demonstrate how they are used to process experimental NIF shot data. We will also present recent ICF burn-history results from GRH, consider their implications, and outline plans to improve measurement quality in the context of increasing neutron yields.</w:t>
      </w:r>
    </w:p>
    <w:p w14:paraId="6186D00F" w14:textId="77777777" w:rsidR="00CA4166" w:rsidRDefault="00CA4166" w:rsidP="00430910">
      <w:pPr>
        <w:pStyle w:val="Paragraph"/>
        <w:ind w:firstLine="0"/>
        <w:jc w:val="both"/>
        <w:rPr>
          <w:sz w:val="24"/>
        </w:rPr>
      </w:pPr>
    </w:p>
    <w:p w14:paraId="750B02E2" w14:textId="77777777" w:rsidR="00430910" w:rsidRDefault="00430910" w:rsidP="00430910">
      <w:pPr>
        <w:pStyle w:val="Paragraph"/>
        <w:ind w:firstLine="0"/>
        <w:jc w:val="both"/>
        <w:rPr>
          <w:sz w:val="24"/>
        </w:rPr>
      </w:pPr>
      <w:r w:rsidRPr="00DC45FB">
        <w:rPr>
          <w:sz w:val="24"/>
        </w:rPr>
        <w:t>Prepared by LLNL under Contract DE-AC52-07NA27344.</w:t>
      </w:r>
    </w:p>
    <w:p w14:paraId="0879D3C9" w14:textId="6FDCE90C" w:rsidR="0024018D" w:rsidRDefault="0083096A" w:rsidP="00430910">
      <w:pPr>
        <w:pStyle w:val="Paragraph"/>
        <w:ind w:firstLine="0"/>
        <w:jc w:val="both"/>
        <w:rPr>
          <w:sz w:val="24"/>
        </w:rPr>
      </w:pPr>
      <w:r w:rsidRPr="00CA05EC">
        <w:rPr>
          <w:sz w:val="24"/>
        </w:rPr>
        <w:t>LLNL-ABS-</w:t>
      </w:r>
      <w:r w:rsidR="008A1222" w:rsidRPr="008A1222">
        <w:t xml:space="preserve"> </w:t>
      </w:r>
      <w:r w:rsidR="008A1222" w:rsidRPr="008A1222">
        <w:rPr>
          <w:sz w:val="24"/>
        </w:rPr>
        <w:t>2017448</w:t>
      </w:r>
    </w:p>
    <w:p w14:paraId="30146E18" w14:textId="3932D837" w:rsidR="0024018D" w:rsidRDefault="0024018D" w:rsidP="00430910">
      <w:pPr>
        <w:pStyle w:val="Paragraph"/>
        <w:ind w:firstLine="0"/>
        <w:jc w:val="both"/>
      </w:pPr>
    </w:p>
    <w:p w14:paraId="59FB9BF1" w14:textId="30870113" w:rsidR="00CC4711" w:rsidRPr="00856769" w:rsidRDefault="002552EC" w:rsidP="00430910">
      <w:pPr>
        <w:pStyle w:val="Paragraph"/>
        <w:ind w:firstLine="0"/>
        <w:jc w:val="both"/>
        <w:rPr>
          <w:sz w:val="22"/>
          <w:szCs w:val="22"/>
        </w:rPr>
      </w:pPr>
      <w:r>
        <w:rPr>
          <w:sz w:val="22"/>
          <w:szCs w:val="22"/>
        </w:rPr>
        <w:t>[</w:t>
      </w:r>
      <w:r w:rsidR="00CC4711" w:rsidRPr="002552EC">
        <w:rPr>
          <w:sz w:val="22"/>
          <w:szCs w:val="22"/>
        </w:rPr>
        <w:t>1</w:t>
      </w:r>
      <w:r>
        <w:rPr>
          <w:sz w:val="22"/>
          <w:szCs w:val="22"/>
        </w:rPr>
        <w:t>]</w:t>
      </w:r>
      <w:r w:rsidR="00CC4711" w:rsidRPr="002552EC">
        <w:rPr>
          <w:sz w:val="22"/>
          <w:szCs w:val="22"/>
        </w:rPr>
        <w:t xml:space="preserve"> </w:t>
      </w:r>
      <w:r w:rsidRPr="002552EC">
        <w:rPr>
          <w:sz w:val="22"/>
          <w:szCs w:val="22"/>
        </w:rPr>
        <w:t xml:space="preserve">C. Trosseille </w:t>
      </w:r>
      <w:r w:rsidRPr="002552EC">
        <w:rPr>
          <w:i/>
          <w:iCs/>
          <w:sz w:val="22"/>
          <w:szCs w:val="22"/>
        </w:rPr>
        <w:t>et al.</w:t>
      </w:r>
      <w:r>
        <w:rPr>
          <w:i/>
          <w:iCs/>
          <w:sz w:val="22"/>
          <w:szCs w:val="22"/>
        </w:rPr>
        <w:t>,</w:t>
      </w:r>
      <w:r w:rsidRPr="002552EC">
        <w:rPr>
          <w:sz w:val="22"/>
          <w:szCs w:val="22"/>
        </w:rPr>
        <w:t xml:space="preserve"> </w:t>
      </w:r>
      <w:r w:rsidRPr="002552EC">
        <w:rPr>
          <w:rStyle w:val="Emphasis"/>
          <w:i w:val="0"/>
          <w:iCs w:val="0"/>
          <w:color w:val="1A1A1A"/>
          <w:sz w:val="22"/>
          <w:szCs w:val="22"/>
          <w:bdr w:val="none" w:sz="0" w:space="0" w:color="auto" w:frame="1"/>
          <w:shd w:val="clear" w:color="auto" w:fill="FFFFFF"/>
        </w:rPr>
        <w:t xml:space="preserve">Rev. Sci. </w:t>
      </w:r>
      <w:proofErr w:type="spellStart"/>
      <w:r w:rsidRPr="002552EC">
        <w:rPr>
          <w:rStyle w:val="Emphasis"/>
          <w:i w:val="0"/>
          <w:iCs w:val="0"/>
          <w:color w:val="1A1A1A"/>
          <w:sz w:val="22"/>
          <w:szCs w:val="22"/>
          <w:bdr w:val="none" w:sz="0" w:space="0" w:color="auto" w:frame="1"/>
          <w:shd w:val="clear" w:color="auto" w:fill="FFFFFF"/>
        </w:rPr>
        <w:t>Instrum</w:t>
      </w:r>
      <w:proofErr w:type="spellEnd"/>
      <w:r w:rsidRPr="002552EC">
        <w:rPr>
          <w:rStyle w:val="Emphasis"/>
          <w:i w:val="0"/>
          <w:iCs w:val="0"/>
          <w:color w:val="1A1A1A"/>
          <w:sz w:val="22"/>
          <w:szCs w:val="22"/>
          <w:bdr w:val="none" w:sz="0" w:space="0" w:color="auto" w:frame="1"/>
          <w:shd w:val="clear" w:color="auto" w:fill="FFFFFF"/>
        </w:rPr>
        <w:t>.</w:t>
      </w:r>
      <w:r w:rsidRPr="002552EC">
        <w:rPr>
          <w:i/>
          <w:iCs/>
          <w:color w:val="1A1A1A"/>
          <w:sz w:val="22"/>
          <w:szCs w:val="22"/>
          <w:shd w:val="clear" w:color="auto" w:fill="FFFFFF"/>
        </w:rPr>
        <w:t> </w:t>
      </w:r>
      <w:r w:rsidRPr="00856769">
        <w:rPr>
          <w:color w:val="1A1A1A"/>
          <w:sz w:val="22"/>
          <w:szCs w:val="22"/>
          <w:shd w:val="clear" w:color="auto" w:fill="FFFFFF"/>
        </w:rPr>
        <w:t>94, 021102 (2023)</w:t>
      </w:r>
    </w:p>
    <w:p w14:paraId="5DCA0E1C" w14:textId="1458653A" w:rsidR="00CC4711" w:rsidRPr="002552EC" w:rsidRDefault="002552EC" w:rsidP="00430910">
      <w:pPr>
        <w:pStyle w:val="Paragraph"/>
        <w:ind w:firstLine="0"/>
        <w:jc w:val="both"/>
        <w:rPr>
          <w:sz w:val="22"/>
          <w:szCs w:val="22"/>
        </w:rPr>
      </w:pPr>
      <w:r>
        <w:rPr>
          <w:sz w:val="22"/>
          <w:szCs w:val="22"/>
        </w:rPr>
        <w:t>[</w:t>
      </w:r>
      <w:r w:rsidR="00CC4711" w:rsidRPr="002552EC">
        <w:rPr>
          <w:sz w:val="22"/>
          <w:szCs w:val="22"/>
        </w:rPr>
        <w:t>2</w:t>
      </w:r>
      <w:r>
        <w:rPr>
          <w:sz w:val="22"/>
          <w:szCs w:val="22"/>
        </w:rPr>
        <w:t>]</w:t>
      </w:r>
      <w:r w:rsidR="00CC4711" w:rsidRPr="002552EC">
        <w:rPr>
          <w:sz w:val="22"/>
          <w:szCs w:val="22"/>
        </w:rPr>
        <w:t xml:space="preserve"> </w:t>
      </w:r>
      <w:r>
        <w:rPr>
          <w:sz w:val="22"/>
          <w:szCs w:val="22"/>
        </w:rPr>
        <w:t xml:space="preserve">H. </w:t>
      </w:r>
      <w:r w:rsidRPr="002552EC">
        <w:rPr>
          <w:sz w:val="22"/>
          <w:szCs w:val="22"/>
        </w:rPr>
        <w:t>Abu-</w:t>
      </w:r>
      <w:proofErr w:type="spellStart"/>
      <w:r w:rsidRPr="002552EC">
        <w:rPr>
          <w:sz w:val="22"/>
          <w:szCs w:val="22"/>
        </w:rPr>
        <w:t>Shawareb</w:t>
      </w:r>
      <w:proofErr w:type="spellEnd"/>
      <w:r w:rsidRPr="002552EC">
        <w:rPr>
          <w:sz w:val="22"/>
          <w:szCs w:val="22"/>
        </w:rPr>
        <w:t xml:space="preserve"> </w:t>
      </w:r>
      <w:r w:rsidRPr="002552EC">
        <w:rPr>
          <w:i/>
          <w:iCs/>
          <w:sz w:val="22"/>
          <w:szCs w:val="22"/>
        </w:rPr>
        <w:t>et al.</w:t>
      </w:r>
      <w:r>
        <w:rPr>
          <w:i/>
          <w:iCs/>
          <w:sz w:val="22"/>
          <w:szCs w:val="22"/>
        </w:rPr>
        <w:t>,</w:t>
      </w:r>
      <w:r w:rsidRPr="002552EC">
        <w:rPr>
          <w:sz w:val="22"/>
          <w:szCs w:val="22"/>
        </w:rPr>
        <w:t xml:space="preserve"> Phys. Rev. Lett. 129, 075001 (2022)</w:t>
      </w:r>
    </w:p>
    <w:p w14:paraId="4CA606CB" w14:textId="464107F3" w:rsidR="00CC4711" w:rsidRPr="002552EC" w:rsidRDefault="002552EC" w:rsidP="00430910">
      <w:pPr>
        <w:pStyle w:val="Paragraph"/>
        <w:ind w:firstLine="0"/>
        <w:jc w:val="both"/>
        <w:rPr>
          <w:sz w:val="22"/>
          <w:szCs w:val="22"/>
        </w:rPr>
      </w:pPr>
      <w:r>
        <w:rPr>
          <w:sz w:val="22"/>
          <w:szCs w:val="22"/>
        </w:rPr>
        <w:t>[</w:t>
      </w:r>
      <w:r w:rsidR="00CC4711" w:rsidRPr="002552EC">
        <w:rPr>
          <w:sz w:val="22"/>
          <w:szCs w:val="22"/>
        </w:rPr>
        <w:t>3</w:t>
      </w:r>
      <w:r>
        <w:rPr>
          <w:sz w:val="22"/>
          <w:szCs w:val="22"/>
        </w:rPr>
        <w:t>]</w:t>
      </w:r>
      <w:r w:rsidRPr="002552EC">
        <w:rPr>
          <w:sz w:val="22"/>
          <w:szCs w:val="22"/>
        </w:rPr>
        <w:t xml:space="preserve"> H. W. Hermann </w:t>
      </w:r>
      <w:r w:rsidRPr="002552EC">
        <w:rPr>
          <w:i/>
          <w:iCs/>
          <w:sz w:val="22"/>
          <w:szCs w:val="22"/>
        </w:rPr>
        <w:t>et al.</w:t>
      </w:r>
      <w:r>
        <w:rPr>
          <w:sz w:val="22"/>
          <w:szCs w:val="22"/>
        </w:rPr>
        <w:t>,</w:t>
      </w:r>
      <w:r w:rsidR="00CC4711" w:rsidRPr="002552EC">
        <w:rPr>
          <w:sz w:val="22"/>
          <w:szCs w:val="22"/>
        </w:rPr>
        <w:t xml:space="preserve"> </w:t>
      </w:r>
      <w:r w:rsidRPr="002552EC">
        <w:rPr>
          <w:rStyle w:val="Emphasis"/>
          <w:i w:val="0"/>
          <w:iCs w:val="0"/>
          <w:color w:val="1A1A1A"/>
          <w:sz w:val="22"/>
          <w:szCs w:val="22"/>
          <w:bdr w:val="none" w:sz="0" w:space="0" w:color="auto" w:frame="1"/>
          <w:shd w:val="clear" w:color="auto" w:fill="FFFFFF"/>
        </w:rPr>
        <w:t xml:space="preserve">Rev. Sci. </w:t>
      </w:r>
      <w:proofErr w:type="spellStart"/>
      <w:r w:rsidRPr="002552EC">
        <w:rPr>
          <w:rStyle w:val="Emphasis"/>
          <w:i w:val="0"/>
          <w:iCs w:val="0"/>
          <w:color w:val="1A1A1A"/>
          <w:sz w:val="22"/>
          <w:szCs w:val="22"/>
          <w:bdr w:val="none" w:sz="0" w:space="0" w:color="auto" w:frame="1"/>
          <w:shd w:val="clear" w:color="auto" w:fill="FFFFFF"/>
        </w:rPr>
        <w:t>Instrum</w:t>
      </w:r>
      <w:proofErr w:type="spellEnd"/>
      <w:r w:rsidRPr="002552EC">
        <w:rPr>
          <w:rStyle w:val="Emphasis"/>
          <w:i w:val="0"/>
          <w:iCs w:val="0"/>
          <w:color w:val="1A1A1A"/>
          <w:sz w:val="22"/>
          <w:szCs w:val="22"/>
          <w:bdr w:val="none" w:sz="0" w:space="0" w:color="auto" w:frame="1"/>
          <w:shd w:val="clear" w:color="auto" w:fill="FFFFFF"/>
        </w:rPr>
        <w:t>.</w:t>
      </w:r>
      <w:r w:rsidRPr="002552EC">
        <w:rPr>
          <w:i/>
          <w:iCs/>
          <w:color w:val="1A1A1A"/>
          <w:sz w:val="22"/>
          <w:szCs w:val="22"/>
          <w:shd w:val="clear" w:color="auto" w:fill="FFFFFF"/>
        </w:rPr>
        <w:t> </w:t>
      </w:r>
      <w:r w:rsidRPr="00856769">
        <w:rPr>
          <w:color w:val="1A1A1A"/>
          <w:sz w:val="22"/>
          <w:szCs w:val="22"/>
          <w:shd w:val="clear" w:color="auto" w:fill="FFFFFF"/>
        </w:rPr>
        <w:t>81, 10D333 (2010)</w:t>
      </w:r>
    </w:p>
    <w:p w14:paraId="43D466C7" w14:textId="7827134D" w:rsidR="00CC4711" w:rsidRDefault="00CC4711" w:rsidP="00430910">
      <w:pPr>
        <w:pStyle w:val="Paragraph"/>
        <w:ind w:firstLine="0"/>
        <w:jc w:val="both"/>
      </w:pPr>
    </w:p>
    <w:p w14:paraId="2A89AE4A" w14:textId="77777777" w:rsidR="00856769" w:rsidRDefault="00856769" w:rsidP="00430910">
      <w:pPr>
        <w:pStyle w:val="Paragraph"/>
        <w:ind w:firstLine="0"/>
        <w:jc w:val="both"/>
      </w:pPr>
    </w:p>
    <w:p w14:paraId="5BFF306A" w14:textId="0EBF7243" w:rsidR="00856769" w:rsidRDefault="00856769" w:rsidP="00430910">
      <w:pPr>
        <w:pStyle w:val="Paragraph"/>
        <w:ind w:firstLine="0"/>
        <w:jc w:val="both"/>
      </w:pPr>
      <w:r w:rsidRPr="009274B9">
        <w:rPr>
          <w:b/>
          <w:bCs/>
        </w:rPr>
        <w:t>Specify category</w:t>
      </w:r>
      <w:r>
        <w:rPr>
          <w:b/>
          <w:bCs/>
        </w:rPr>
        <w:t>:</w:t>
      </w:r>
      <w:r>
        <w:t xml:space="preserve"> </w:t>
      </w:r>
      <w:r w:rsidRPr="00082DF1">
        <w:rPr>
          <w:color w:val="000000"/>
          <w:szCs w:val="24"/>
        </w:rPr>
        <w:t>Inertial confinement fusion</w:t>
      </w:r>
    </w:p>
    <w:sectPr w:rsidR="00856769" w:rsidSect="004E5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71D15"/>
    <w:multiLevelType w:val="hybridMultilevel"/>
    <w:tmpl w:val="87F0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4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C7"/>
    <w:rsid w:val="000A7D49"/>
    <w:rsid w:val="0013583E"/>
    <w:rsid w:val="00144632"/>
    <w:rsid w:val="0024018D"/>
    <w:rsid w:val="002552EC"/>
    <w:rsid w:val="002C4679"/>
    <w:rsid w:val="003053CA"/>
    <w:rsid w:val="003604A9"/>
    <w:rsid w:val="003B0DA8"/>
    <w:rsid w:val="003D6FDA"/>
    <w:rsid w:val="00430910"/>
    <w:rsid w:val="004822FA"/>
    <w:rsid w:val="004E5145"/>
    <w:rsid w:val="00505F76"/>
    <w:rsid w:val="00517506"/>
    <w:rsid w:val="005E066E"/>
    <w:rsid w:val="005F5074"/>
    <w:rsid w:val="00711CF3"/>
    <w:rsid w:val="00712359"/>
    <w:rsid w:val="00744127"/>
    <w:rsid w:val="007D6729"/>
    <w:rsid w:val="007E61E5"/>
    <w:rsid w:val="0083096A"/>
    <w:rsid w:val="00842899"/>
    <w:rsid w:val="00855164"/>
    <w:rsid w:val="00856769"/>
    <w:rsid w:val="00861348"/>
    <w:rsid w:val="008A1222"/>
    <w:rsid w:val="008B60DC"/>
    <w:rsid w:val="008C5371"/>
    <w:rsid w:val="008D2550"/>
    <w:rsid w:val="00905099"/>
    <w:rsid w:val="009322A1"/>
    <w:rsid w:val="009378F4"/>
    <w:rsid w:val="00977EBB"/>
    <w:rsid w:val="0098060A"/>
    <w:rsid w:val="009935C7"/>
    <w:rsid w:val="00995A03"/>
    <w:rsid w:val="00A15C50"/>
    <w:rsid w:val="00A24A19"/>
    <w:rsid w:val="00AA0A87"/>
    <w:rsid w:val="00AC55C4"/>
    <w:rsid w:val="00AE5D82"/>
    <w:rsid w:val="00AF74C7"/>
    <w:rsid w:val="00B064CA"/>
    <w:rsid w:val="00B97D83"/>
    <w:rsid w:val="00BA6896"/>
    <w:rsid w:val="00BC4668"/>
    <w:rsid w:val="00BE2018"/>
    <w:rsid w:val="00C07E33"/>
    <w:rsid w:val="00C92C3F"/>
    <w:rsid w:val="00CA05EC"/>
    <w:rsid w:val="00CA1C7D"/>
    <w:rsid w:val="00CA4166"/>
    <w:rsid w:val="00CC4711"/>
    <w:rsid w:val="00CD5B77"/>
    <w:rsid w:val="00CF7221"/>
    <w:rsid w:val="00CF7292"/>
    <w:rsid w:val="00D30134"/>
    <w:rsid w:val="00D30AA8"/>
    <w:rsid w:val="00D31051"/>
    <w:rsid w:val="00D6217E"/>
    <w:rsid w:val="00E70B78"/>
    <w:rsid w:val="00EF4E93"/>
    <w:rsid w:val="00F50BAA"/>
    <w:rsid w:val="00F56683"/>
    <w:rsid w:val="00F62B6C"/>
    <w:rsid w:val="00F86E31"/>
    <w:rsid w:val="00F97FEF"/>
    <w:rsid w:val="00FB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1D993"/>
  <w15:chartTrackingRefBased/>
  <w15:docId w15:val="{0FF44002-7464-5647-B128-090476D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C7"/>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35C7"/>
    <w:rPr>
      <w:color w:val="0000FF"/>
      <w:u w:val="single"/>
    </w:rPr>
  </w:style>
  <w:style w:type="paragraph" w:customStyle="1" w:styleId="Paragraph">
    <w:name w:val="Paragraph"/>
    <w:basedOn w:val="Normal"/>
    <w:rsid w:val="00430910"/>
    <w:pPr>
      <w:ind w:firstLine="360"/>
    </w:pPr>
  </w:style>
  <w:style w:type="character" w:styleId="Emphasis">
    <w:name w:val="Emphasis"/>
    <w:basedOn w:val="DefaultParagraphFont"/>
    <w:uiPriority w:val="20"/>
    <w:qFormat/>
    <w:rsid w:val="00255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osseille1@lln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1</Pages>
  <Words>293</Words>
  <Characters>1925</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Trosseille, Clement</dc:creator>
  <cp:keywords/>
  <dc:description/>
  <cp:lastModifiedBy>Trosseille, Clement</cp:lastModifiedBy>
  <cp:revision>39</cp:revision>
  <dcterms:created xsi:type="dcterms:W3CDTF">2022-01-24T16:46:00Z</dcterms:created>
  <dcterms:modified xsi:type="dcterms:W3CDTF">2026-03-27T23:54:00Z</dcterms:modified>
</cp:coreProperties>
</file>