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rFonts w:ascii="Arial" w:hAnsi="Arial" w:cs="Arial"/>
          <w:b/>
          <w:sz w:val="24"/>
          <w:szCs w:val="24"/>
          <w:lang w:eastAsia="de-DE"/>
        </w:rPr>
      </w:pPr>
      <w:r>
        <w:rPr>
          <w:rFonts w:ascii="Arial" w:hAnsi="Arial" w:cs="Arial"/>
          <w:b/>
          <w:sz w:val="24"/>
          <w:szCs w:val="24"/>
          <w:lang w:eastAsia="de-DE"/>
        </w:rPr>
        <w:t>Neutral Pressure Gauges in Fusion: Model Validation and Real-Time Control from AUG/W7</w:t>
      </w:r>
      <w:r>
        <w:rPr>
          <w:rFonts w:ascii="Cambria Math" w:hAnsi="Cambria Math" w:cs="Cambria Math"/>
          <w:b/>
          <w:sz w:val="24"/>
          <w:szCs w:val="24"/>
          <w:lang w:eastAsia="de-DE"/>
        </w:rPr>
        <w:t>‑</w:t>
      </w:r>
      <w:r>
        <w:rPr>
          <w:rFonts w:ascii="Arial" w:hAnsi="Arial" w:cs="Arial"/>
          <w:b/>
          <w:sz w:val="24"/>
          <w:szCs w:val="24"/>
          <w:lang w:eastAsia="de-DE"/>
        </w:rPr>
        <w:t>X to ITER/SPARC and beyond.</w:t>
      </w:r>
    </w:p>
    <w:p>
      <w:pPr>
        <w:rPr>
          <w:b/>
          <w:sz w:val="24"/>
        </w:rPr>
      </w:pPr>
    </w:p>
    <w:p>
      <w:pPr>
        <w:jc w:val="center"/>
        <w:rPr>
          <w:sz w:val="24"/>
          <w:lang w:val="de-DE"/>
        </w:rPr>
      </w:pPr>
      <w:r>
        <w:rPr>
          <w:sz w:val="24"/>
          <w:lang w:val="de-DE"/>
        </w:rPr>
        <w:t>M. Griener</w:t>
      </w:r>
      <w:r>
        <w:rPr>
          <w:sz w:val="24"/>
          <w:vertAlign w:val="superscript"/>
          <w:lang w:val="de-DE"/>
        </w:rPr>
        <w:t>1</w:t>
      </w:r>
      <w:r>
        <w:rPr>
          <w:sz w:val="24"/>
          <w:lang w:val="de-DE"/>
        </w:rPr>
        <w:t>, C. Drobny</w:t>
      </w:r>
      <w:r>
        <w:rPr>
          <w:sz w:val="24"/>
          <w:vertAlign w:val="superscript"/>
          <w:lang w:val="de-DE"/>
        </w:rPr>
        <w:t>1</w:t>
      </w:r>
      <w:r>
        <w:rPr>
          <w:sz w:val="24"/>
          <w:lang w:val="de-DE"/>
        </w:rPr>
        <w:t>, A. Glock</w:t>
      </w:r>
      <w:r>
        <w:rPr>
          <w:sz w:val="24"/>
          <w:vertAlign w:val="superscript"/>
          <w:lang w:val="de-DE"/>
        </w:rPr>
        <w:t>1,2</w:t>
      </w:r>
      <w:r>
        <w:rPr>
          <w:sz w:val="24"/>
          <w:lang w:val="de-DE"/>
        </w:rPr>
        <w:t>, H. Meister</w:t>
      </w:r>
      <w:r>
        <w:rPr>
          <w:sz w:val="24"/>
          <w:vertAlign w:val="superscript"/>
          <w:lang w:val="de-DE"/>
        </w:rPr>
        <w:t>1</w:t>
      </w:r>
      <w:r>
        <w:rPr>
          <w:sz w:val="24"/>
          <w:lang w:val="de-DE"/>
        </w:rPr>
        <w:t>, G. Schlisio</w:t>
      </w:r>
      <w:r>
        <w:rPr>
          <w:sz w:val="24"/>
          <w:vertAlign w:val="superscript"/>
          <w:lang w:val="de-DE"/>
        </w:rPr>
        <w:t>3</w:t>
      </w:r>
      <w:r>
        <w:rPr>
          <w:sz w:val="24"/>
          <w:lang w:val="de-DE"/>
        </w:rPr>
        <w:t>, B. Sieglin</w:t>
      </w:r>
      <w:r>
        <w:rPr>
          <w:sz w:val="24"/>
          <w:vertAlign w:val="superscript"/>
          <w:lang w:val="de-DE"/>
        </w:rPr>
        <w:t>1</w:t>
      </w:r>
      <w:r>
        <w:rPr>
          <w:sz w:val="24"/>
          <w:lang w:val="de-DE"/>
        </w:rPr>
        <w:t>, G. Birkenmeier</w:t>
      </w:r>
      <w:r>
        <w:rPr>
          <w:sz w:val="24"/>
          <w:vertAlign w:val="superscript"/>
          <w:lang w:val="de-DE"/>
        </w:rPr>
        <w:t>1,2</w:t>
      </w:r>
      <w:r>
        <w:rPr>
          <w:sz w:val="24"/>
          <w:lang w:val="de-DE"/>
        </w:rPr>
        <w:t>,</w:t>
      </w:r>
    </w:p>
    <w:p>
      <w:pPr>
        <w:jc w:val="center"/>
        <w:rPr>
          <w:sz w:val="24"/>
          <w:lang w:val="de-DE"/>
        </w:rPr>
      </w:pPr>
      <w:r>
        <w:rPr>
          <w:sz w:val="24"/>
          <w:lang w:val="de-DE"/>
        </w:rPr>
        <w:t>M. Astrain</w:t>
      </w:r>
      <w:r>
        <w:rPr>
          <w:sz w:val="24"/>
          <w:vertAlign w:val="superscript"/>
          <w:lang w:val="de-DE"/>
        </w:rPr>
        <w:t>1</w:t>
      </w:r>
      <w:r>
        <w:rPr>
          <w:sz w:val="24"/>
          <w:lang w:val="de-DE"/>
        </w:rPr>
        <w:t>, H. Eixenberger</w:t>
      </w:r>
      <w:r>
        <w:rPr>
          <w:sz w:val="24"/>
          <w:vertAlign w:val="superscript"/>
          <w:lang w:val="de-DE"/>
        </w:rPr>
        <w:t>1</w:t>
      </w:r>
      <w:r>
        <w:rPr>
          <w:sz w:val="24"/>
          <w:lang w:val="de-DE"/>
        </w:rPr>
        <w:t>, M. Gehring</w:t>
      </w:r>
      <w:r>
        <w:rPr>
          <w:sz w:val="24"/>
          <w:vertAlign w:val="superscript"/>
          <w:lang w:val="de-DE"/>
        </w:rPr>
        <w:t>1</w:t>
      </w:r>
      <w:r>
        <w:rPr>
          <w:sz w:val="24"/>
          <w:lang w:val="de-DE"/>
        </w:rPr>
        <w:t>, L. Kammerloher</w:t>
      </w:r>
      <w:r>
        <w:rPr>
          <w:sz w:val="24"/>
          <w:vertAlign w:val="superscript"/>
          <w:lang w:val="de-DE"/>
        </w:rPr>
        <w:t>1</w:t>
      </w:r>
      <w:r>
        <w:rPr>
          <w:lang w:val="de-DE"/>
        </w:rPr>
        <w:t xml:space="preserve"> </w:t>
      </w:r>
      <w:proofErr w:type="spellStart"/>
      <w:r>
        <w:rPr>
          <w:sz w:val="24"/>
          <w:lang w:val="de-DE"/>
        </w:rPr>
        <w:t>the</w:t>
      </w:r>
      <w:proofErr w:type="spellEnd"/>
      <w:r>
        <w:rPr>
          <w:sz w:val="24"/>
          <w:lang w:val="de-DE"/>
        </w:rPr>
        <w:t xml:space="preserve"> ASDEX Upgrade Team, </w:t>
      </w:r>
    </w:p>
    <w:p>
      <w:pPr>
        <w:jc w:val="center"/>
        <w:rPr>
          <w:sz w:val="24"/>
        </w:rPr>
      </w:pPr>
      <w:r>
        <w:rPr>
          <w:sz w:val="24"/>
        </w:rPr>
        <w:t xml:space="preserve">the </w:t>
      </w:r>
      <w:proofErr w:type="spellStart"/>
      <w:r>
        <w:rPr>
          <w:sz w:val="24"/>
        </w:rPr>
        <w:t>EUROfusion</w:t>
      </w:r>
      <w:proofErr w:type="spellEnd"/>
      <w:r>
        <w:rPr>
          <w:sz w:val="24"/>
        </w:rPr>
        <w:t xml:space="preserve"> Tokamak Exploitation Team</w:t>
      </w:r>
    </w:p>
    <w:p>
      <w:pPr>
        <w:rPr>
          <w:sz w:val="24"/>
        </w:rPr>
      </w:pPr>
    </w:p>
    <w:p>
      <w:pPr>
        <w:pStyle w:val="NoSpacing"/>
        <w:spacing w:line="280" w:lineRule="exact"/>
        <w:jc w:val="center"/>
        <w:rPr>
          <w:rFonts w:ascii="Times New Roman" w:hAnsi="Times New Roman" w:cs="Times New Roman"/>
          <w:i/>
          <w:sz w:val="24"/>
          <w:szCs w:val="24"/>
        </w:rPr>
      </w:pPr>
      <w:r>
        <w:rPr>
          <w:rFonts w:ascii="Times New Roman" w:hAnsi="Times New Roman" w:cs="Times New Roman"/>
          <w:i/>
          <w:sz w:val="24"/>
          <w:szCs w:val="24"/>
          <w:vertAlign w:val="superscript"/>
        </w:rPr>
        <w:t>1</w:t>
      </w:r>
      <w:r>
        <w:t xml:space="preserve"> </w:t>
      </w:r>
      <w:r>
        <w:rPr>
          <w:rFonts w:ascii="Times New Roman" w:hAnsi="Times New Roman" w:cs="Times New Roman"/>
          <w:i/>
          <w:sz w:val="24"/>
          <w:szCs w:val="24"/>
        </w:rPr>
        <w:t>Max Planck Institute for Plasma Physics, 85748 Garching, Germany</w:t>
      </w:r>
    </w:p>
    <w:p>
      <w:pPr>
        <w:pStyle w:val="NoSpacing"/>
        <w:spacing w:line="280" w:lineRule="exact"/>
        <w:jc w:val="center"/>
        <w:rPr>
          <w:rFonts w:ascii="Times New Roman" w:hAnsi="Times New Roman" w:cs="Times New Roman"/>
          <w:i/>
          <w:sz w:val="24"/>
          <w:szCs w:val="24"/>
        </w:rPr>
      </w:pPr>
      <w:r>
        <w:rPr>
          <w:rFonts w:ascii="Times New Roman" w:hAnsi="Times New Roman" w:cs="Times New Roman"/>
          <w:i/>
          <w:sz w:val="24"/>
          <w:szCs w:val="24"/>
          <w:vertAlign w:val="superscript"/>
        </w:rPr>
        <w:t xml:space="preserve">2 </w:t>
      </w:r>
      <w:r>
        <w:rPr>
          <w:rFonts w:ascii="Times New Roman" w:hAnsi="Times New Roman" w:cs="Times New Roman"/>
          <w:i/>
          <w:sz w:val="24"/>
          <w:szCs w:val="24"/>
        </w:rPr>
        <w:t xml:space="preserve">Technical University of Munich, TUM School of Natural Sciences, 85748 Garching, Germany </w:t>
      </w:r>
    </w:p>
    <w:p>
      <w:pPr>
        <w:pStyle w:val="NoSpacing"/>
        <w:spacing w:line="280" w:lineRule="exact"/>
        <w:jc w:val="center"/>
        <w:rPr>
          <w:i/>
          <w:sz w:val="24"/>
        </w:rPr>
      </w:pPr>
      <w:r>
        <w:rPr>
          <w:i/>
          <w:sz w:val="24"/>
          <w:vertAlign w:val="superscript"/>
        </w:rPr>
        <w:t>3</w:t>
      </w:r>
      <w:r>
        <w:t xml:space="preserve"> </w:t>
      </w:r>
      <w:r>
        <w:rPr>
          <w:rFonts w:ascii="Times New Roman" w:hAnsi="Times New Roman" w:cs="Times New Roman"/>
          <w:i/>
          <w:sz w:val="24"/>
          <w:szCs w:val="24"/>
        </w:rPr>
        <w:t>Max Planck Institute for Plasma Physics, 17491 Greifswald, Germany</w:t>
      </w:r>
    </w:p>
    <w:p>
      <w:pPr>
        <w:jc w:val="center"/>
        <w:rPr>
          <w:iCs/>
          <w:sz w:val="24"/>
        </w:rPr>
      </w:pPr>
      <w:r>
        <w:rPr>
          <w:iCs/>
          <w:sz w:val="24"/>
        </w:rPr>
        <w:t xml:space="preserve">Corresponding Author Email: </w:t>
      </w:r>
      <w:hyperlink r:id="rId7" w:history="1">
        <w:r>
          <w:rPr>
            <w:rStyle w:val="Hyperlink"/>
            <w:iCs/>
            <w:sz w:val="24"/>
          </w:rPr>
          <w:t>michael.griener@ipp.mpg.de</w:t>
        </w:r>
      </w:hyperlink>
    </w:p>
    <w:p>
      <w:pPr>
        <w:jc w:val="center"/>
        <w:rPr>
          <w:iCs/>
          <w:sz w:val="24"/>
        </w:rPr>
      </w:pPr>
    </w:p>
    <w:p>
      <w:pPr>
        <w:rPr>
          <w:rFonts w:ascii="Arial" w:hAnsi="Arial" w:cs="Arial"/>
          <w:sz w:val="24"/>
          <w:szCs w:val="24"/>
          <w:lang w:eastAsia="de-DE"/>
        </w:rPr>
      </w:pPr>
      <w:r>
        <w:rPr>
          <w:rFonts w:ascii="Arial" w:hAnsi="Arial" w:cs="Arial"/>
          <w:sz w:val="24"/>
          <w:szCs w:val="24"/>
          <w:lang w:eastAsia="de-DE"/>
        </w:rPr>
        <w:t>Neutral pressure at the plasma boundary is a key observable for validating physics-based plasma models and for real-time fueling and exhaust control in the operation of magnetic confinement fusion devices. Linear hot</w:t>
      </w:r>
      <w:r>
        <w:rPr>
          <w:rFonts w:ascii="Arial" w:hAnsi="Arial" w:cs="Arial"/>
          <w:sz w:val="24"/>
          <w:szCs w:val="24"/>
          <w:lang w:eastAsia="de-DE"/>
        </w:rPr>
        <w:noBreakHyphen/>
        <w:t xml:space="preserve">cathode ionization manometers provide absolute neutral density measurements with kilohertz temporal resolution in strong magnetic fields and the harsh in-vessel environment. This talk summarizes the learnings and open questions encountered during the operation of pressure gauges at ASDEX Upgrade (AUG) and </w:t>
      </w:r>
      <w:proofErr w:type="spellStart"/>
      <w:r>
        <w:rPr>
          <w:rFonts w:ascii="Arial" w:hAnsi="Arial" w:cs="Arial"/>
          <w:sz w:val="24"/>
          <w:szCs w:val="24"/>
          <w:lang w:eastAsia="de-DE"/>
        </w:rPr>
        <w:t>Wendelstein</w:t>
      </w:r>
      <w:proofErr w:type="spellEnd"/>
      <w:r>
        <w:rPr>
          <w:rFonts w:ascii="Arial" w:hAnsi="Arial" w:cs="Arial"/>
          <w:sz w:val="24"/>
          <w:szCs w:val="24"/>
          <w:lang w:eastAsia="de-DE"/>
        </w:rPr>
        <w:t xml:space="preserve"> 7-X (W7-X), as well as our laboratory-led development of ITER manometers, with ongoing deployment on SPARC.</w:t>
      </w:r>
    </w:p>
    <w:p>
      <w:pPr>
        <w:rPr>
          <w:rFonts w:ascii="Arial" w:hAnsi="Arial" w:cs="Arial"/>
          <w:sz w:val="24"/>
          <w:szCs w:val="24"/>
          <w:lang w:eastAsia="de-DE"/>
        </w:rPr>
      </w:pPr>
      <w:r>
        <w:rPr>
          <w:rFonts w:ascii="Arial" w:hAnsi="Arial" w:cs="Arial"/>
          <w:sz w:val="24"/>
          <w:szCs w:val="24"/>
          <w:lang w:eastAsia="de-DE"/>
        </w:rPr>
        <w:t xml:space="preserve">The talk explains the operating principle and engineering of these specialized linear manometers, including feedback-controlled thermionic electron emission, the acceleration and oscillatory motions of electrons, signal chopping, the ionization of neutrals, and the measurement of the ion current. The talk motivates the development history of various sensor heads, with a focus on electron emitter concepts, including thoriated tungsten wire used at AUG, LaB6 at W7-X, and indirectly heated </w:t>
      </w:r>
      <w:proofErr w:type="spellStart"/>
      <w:r>
        <w:rPr>
          <w:rFonts w:ascii="Arial" w:hAnsi="Arial" w:cs="Arial"/>
          <w:sz w:val="24"/>
          <w:szCs w:val="24"/>
          <w:lang w:eastAsia="de-DE"/>
        </w:rPr>
        <w:t>ZrC</w:t>
      </w:r>
      <w:proofErr w:type="spellEnd"/>
      <w:r>
        <w:rPr>
          <w:rFonts w:ascii="Arial" w:hAnsi="Arial" w:cs="Arial"/>
          <w:sz w:val="24"/>
          <w:szCs w:val="24"/>
          <w:lang w:eastAsia="de-DE"/>
        </w:rPr>
        <w:t>, which is foreseen for ITER and SPARC.</w:t>
      </w:r>
    </w:p>
    <w:p>
      <w:pPr>
        <w:rPr>
          <w:rFonts w:ascii="Arial" w:hAnsi="Arial" w:cs="Arial"/>
          <w:sz w:val="24"/>
          <w:szCs w:val="24"/>
          <w:lang w:eastAsia="de-DE"/>
        </w:rPr>
      </w:pPr>
      <w:r>
        <w:rPr>
          <w:rFonts w:ascii="Arial" w:hAnsi="Arial" w:cs="Arial"/>
          <w:sz w:val="24"/>
          <w:szCs w:val="24"/>
          <w:lang w:eastAsia="de-DE"/>
        </w:rPr>
        <w:t xml:space="preserve">At AUG, 25 toroidally and poloidally distributed gauges, which are integrated into real-time machine control, provide the most comprehensive neutral gas measurement coverage worldwide for tokamaks. The same holds true for the </w:t>
      </w:r>
      <w:proofErr w:type="spellStart"/>
      <w:r>
        <w:rPr>
          <w:rFonts w:ascii="Arial" w:hAnsi="Arial" w:cs="Arial"/>
          <w:sz w:val="24"/>
          <w:szCs w:val="24"/>
          <w:lang w:eastAsia="de-DE"/>
        </w:rPr>
        <w:t>stellarator</w:t>
      </w:r>
      <w:proofErr w:type="spellEnd"/>
      <w:r>
        <w:rPr>
          <w:rFonts w:ascii="Arial" w:hAnsi="Arial" w:cs="Arial"/>
          <w:sz w:val="24"/>
          <w:szCs w:val="24"/>
          <w:lang w:eastAsia="de-DE"/>
        </w:rPr>
        <w:t xml:space="preserve"> W7-X, which has 18 measurement heads installed. Coupled to plasma edge codes, by e.g., the EIRENE package, these measurements are an important basis for code validation. This is particularly true for core-edge integrated solutions, where the achievable neutral compression is a key factor in overall plasma performance and the resulting wall loads.</w:t>
      </w:r>
    </w:p>
    <w:p>
      <w:pPr>
        <w:rPr>
          <w:rFonts w:ascii="Arial" w:hAnsi="Arial" w:cs="Arial"/>
          <w:sz w:val="24"/>
          <w:szCs w:val="24"/>
          <w:lang w:eastAsia="de-DE"/>
        </w:rPr>
      </w:pPr>
      <w:r>
        <w:rPr>
          <w:rFonts w:ascii="Arial" w:hAnsi="Arial" w:cs="Arial"/>
          <w:sz w:val="24"/>
          <w:szCs w:val="24"/>
          <w:lang w:eastAsia="de-DE"/>
        </w:rPr>
        <w:t xml:space="preserve">Finally, key challenges for applying this diagnostic in future devices are addressed. Sudden ion-current “jumps” can lead to multiple sensitivity states of the device, thereby increasing the measurement uncertainties by up to 30%. Extending the pressure range to some tens of pascals without reaching the manometer saturation limit and ensuring the functionality at high magnetic fields is another important task that meets the demands of future fusion reactors. These challenges will be addressed by a comprehensive 3D gauge model, which is currently being developed and carefully validated in the 8T magnet of the neutral-gas laboratory. When combined with potentially improved electron emitter concepts, the model should guide the design of further prototype gauge heads that are best suited to the variety of upcoming fusion experiments and, ultimately, commercial fusion reactors, where </w:t>
      </w:r>
      <w:bookmarkStart w:id="0" w:name="_GoBack"/>
      <w:bookmarkEnd w:id="0"/>
      <w:r>
        <w:rPr>
          <w:rFonts w:ascii="Arial" w:hAnsi="Arial" w:cs="Arial"/>
          <w:sz w:val="24"/>
          <w:szCs w:val="24"/>
          <w:lang w:eastAsia="de-DE"/>
        </w:rPr>
        <w:t xml:space="preserve">reliability, radiation hardness, and lifetime are of the utmost importance.  </w:t>
      </w:r>
    </w:p>
    <w:p>
      <w:pPr>
        <w:pStyle w:val="Paragraph"/>
        <w:jc w:val="both"/>
        <w:rPr>
          <w:sz w:val="24"/>
        </w:rPr>
      </w:pPr>
    </w:p>
    <w:p>
      <w:pPr>
        <w:pStyle w:val="Paragraph"/>
        <w:ind w:firstLine="0"/>
        <w:jc w:val="both"/>
        <w:rPr>
          <w:sz w:val="24"/>
        </w:rPr>
      </w:pPr>
      <w:r>
        <w:rPr>
          <w:sz w:val="24"/>
        </w:rPr>
        <w:t>This work received funding from the German Federal Ministry of Research, Technology and Space (BMFTR) within the funding program Fusion 2040 (reference no. 13F1020).</w:t>
      </w:r>
    </w:p>
    <w:p>
      <w:pPr>
        <w:pStyle w:val="Paragraph"/>
        <w:ind w:firstLine="0"/>
        <w:jc w:val="both"/>
        <w:rPr>
          <w:b/>
          <w:color w:val="000000"/>
          <w:szCs w:val="24"/>
        </w:rPr>
      </w:pPr>
    </w:p>
    <w:p>
      <w:pPr>
        <w:pStyle w:val="Paragraph"/>
        <w:ind w:firstLine="0"/>
        <w:jc w:val="both"/>
        <w:rPr>
          <w:b/>
          <w:color w:val="000000"/>
          <w:sz w:val="24"/>
          <w:szCs w:val="24"/>
        </w:rPr>
      </w:pPr>
      <w:r>
        <w:rPr>
          <w:b/>
          <w:color w:val="000000"/>
          <w:sz w:val="24"/>
          <w:szCs w:val="24"/>
        </w:rPr>
        <w:t>Magnetic confinement fusion</w:t>
      </w:r>
    </w:p>
    <w:sectPr>
      <w:pgSz w:w="12240" w:h="15840"/>
      <w:pgMar w:top="851" w:right="1440"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E55A8"/>
    <w:multiLevelType w:val="hybridMultilevel"/>
    <w:tmpl w:val="A380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5407FC"/>
    <w:multiLevelType w:val="multilevel"/>
    <w:tmpl w:val="10968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87C472B"/>
    <w:multiLevelType w:val="hybridMultilevel"/>
    <w:tmpl w:val="06427EF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hyphenationZone w:val="425"/>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BC615A-9E6F-4A4B-A16A-30EED888A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pPr>
      <w:ind w:firstLine="360"/>
    </w:pPr>
  </w:style>
  <w:style w:type="character" w:styleId="Hyperlink">
    <w:name w:val="Hyperlink"/>
    <w:uiPriority w:val="99"/>
    <w:unhideWhenUsed/>
    <w:rPr>
      <w:color w:val="0000FF"/>
      <w:u w:val="single"/>
    </w:rPr>
  </w:style>
  <w:style w:type="paragraph" w:styleId="Header">
    <w:name w:val="header"/>
    <w:basedOn w:val="Normal"/>
    <w:link w:val="HeaderChar"/>
    <w:uiPriority w:val="99"/>
    <w:semiHidden/>
    <w:unhideWhenUsed/>
    <w:pPr>
      <w:tabs>
        <w:tab w:val="center" w:pos="4680"/>
        <w:tab w:val="right" w:pos="9360"/>
      </w:tabs>
    </w:pPr>
  </w:style>
  <w:style w:type="character" w:customStyle="1" w:styleId="HeaderChar">
    <w:name w:val="Header Char"/>
    <w:link w:val="Header"/>
    <w:uiPriority w:val="99"/>
    <w:semiHidden/>
    <w:rPr>
      <w:rFonts w:ascii="Times New Roman" w:eastAsia="Times New Roman" w:hAnsi="Times New Roman" w:cs="Times New Roman"/>
      <w:sz w:val="20"/>
      <w:szCs w:val="20"/>
      <w:lang w:eastAsia="ja-JP"/>
    </w:rPr>
  </w:style>
  <w:style w:type="paragraph" w:styleId="Footer">
    <w:name w:val="footer"/>
    <w:basedOn w:val="Normal"/>
    <w:link w:val="FooterChar"/>
    <w:uiPriority w:val="99"/>
    <w:semiHidden/>
    <w:unhideWhenUsed/>
    <w:pPr>
      <w:tabs>
        <w:tab w:val="center" w:pos="4680"/>
        <w:tab w:val="right" w:pos="9360"/>
      </w:tabs>
    </w:pPr>
  </w:style>
  <w:style w:type="character" w:customStyle="1" w:styleId="FooterChar">
    <w:name w:val="Footer Char"/>
    <w:link w:val="Footer"/>
    <w:uiPriority w:val="99"/>
    <w:semiHidden/>
    <w:rPr>
      <w:rFonts w:ascii="Times New Roman" w:eastAsia="Times New Roman" w:hAnsi="Times New Roman" w:cs="Times New Roman"/>
      <w:sz w:val="20"/>
      <w:szCs w:val="20"/>
      <w:lang w:eastAsia="ja-JP"/>
    </w:rPr>
  </w:style>
  <w:style w:type="character" w:customStyle="1" w:styleId="UnresolvedMention1">
    <w:name w:val="Unresolved Mention1"/>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 w:type="paragraph" w:styleId="Revision">
    <w:name w:val="Revision"/>
    <w:hidden/>
    <w:uiPriority w:val="99"/>
    <w:semiHidden/>
    <w:rPr>
      <w:rFonts w:ascii="Times New Roman" w:eastAsia="Times New Roman" w:hAnsi="Times New Roman"/>
      <w:lang w:eastAsia="ja-JP"/>
    </w:rPr>
  </w:style>
  <w:style w:type="character" w:styleId="FollowedHyperlink">
    <w:name w:val="FollowedHyperlink"/>
    <w:basedOn w:val="DefaultParagraphFont"/>
    <w:uiPriority w:val="99"/>
    <w:semiHidden/>
    <w:unhideWhenUsed/>
    <w:rPr>
      <w:color w:val="954F72" w:themeColor="followedHyperlink"/>
      <w:u w:val="single"/>
    </w:rPr>
  </w:style>
  <w:style w:type="paragraph" w:styleId="NoSpacing">
    <w:name w:val="No Spacing"/>
    <w:uiPriority w:val="1"/>
    <w:qFormat/>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954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ichael.griener@ipp.mpg.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493</Words>
  <Characters>3110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LLNL</Company>
  <LinksUpToDate>false</LinksUpToDate>
  <CharactersWithSpaces>3596</CharactersWithSpaces>
  <SharedDoc>false</SharedDoc>
  <HLinks>
    <vt:vector size="24" baseType="variant">
      <vt:variant>
        <vt:i4>5701716</vt:i4>
      </vt:variant>
      <vt:variant>
        <vt:i4>9</vt:i4>
      </vt:variant>
      <vt:variant>
        <vt:i4>0</vt:i4>
      </vt:variant>
      <vt:variant>
        <vt:i4>5</vt:i4>
      </vt:variant>
      <vt:variant>
        <vt:lpwstr>http://www.lanl.gov/htpd2020</vt:lpwstr>
      </vt:variant>
      <vt:variant>
        <vt:lpwstr/>
      </vt:variant>
      <vt:variant>
        <vt:i4>4784243</vt:i4>
      </vt:variant>
      <vt:variant>
        <vt:i4>6</vt:i4>
      </vt:variant>
      <vt:variant>
        <vt:i4>0</vt:i4>
      </vt:variant>
      <vt:variant>
        <vt:i4>5</vt:i4>
      </vt:variant>
      <vt:variant>
        <vt:lpwstr>mailto:htpd2020abstracts@lanl.gov</vt:lpwstr>
      </vt:variant>
      <vt:variant>
        <vt:lpwstr/>
      </vt:variant>
      <vt:variant>
        <vt:i4>4784243</vt:i4>
      </vt:variant>
      <vt:variant>
        <vt:i4>3</vt:i4>
      </vt:variant>
      <vt:variant>
        <vt:i4>0</vt:i4>
      </vt:variant>
      <vt:variant>
        <vt:i4>5</vt:i4>
      </vt:variant>
      <vt:variant>
        <vt:lpwstr>mailto:htpd2020abstracts@lanl.gov</vt:lpwstr>
      </vt:variant>
      <vt:variant>
        <vt:lpwstr/>
      </vt:variant>
      <vt:variant>
        <vt:i4>2228238</vt:i4>
      </vt:variant>
      <vt:variant>
        <vt:i4>0</vt:i4>
      </vt:variant>
      <vt:variant>
        <vt:i4>0</vt:i4>
      </vt:variant>
      <vt:variant>
        <vt:i4>5</vt:i4>
      </vt:variant>
      <vt:variant>
        <vt:lpwstr>mailto:Author@domain.net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meier5</dc:creator>
  <cp:keywords/>
  <cp:lastModifiedBy>Michael Griener</cp:lastModifiedBy>
  <cp:revision>18</cp:revision>
  <cp:lastPrinted>2026-03-02T15:16:00Z</cp:lastPrinted>
  <dcterms:created xsi:type="dcterms:W3CDTF">2023-12-05T11:54:00Z</dcterms:created>
  <dcterms:modified xsi:type="dcterms:W3CDTF">2026-03-06T10:42:00Z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ecece8fe-a95f-4196-a445-9552e055153c</vt:lpwstr>
  </property>
</Properties>
</file>