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2A57" w14:textId="77777777" w:rsidR="000C486D" w:rsidRPr="00310EE2" w:rsidRDefault="000C486D" w:rsidP="000C486D">
      <w:pPr>
        <w:rPr>
          <w:rFonts w:ascii="Arial" w:hAnsi="Arial" w:cs="Arial"/>
          <w:b/>
          <w:bCs/>
          <w:spacing w:val="1"/>
          <w:sz w:val="24"/>
          <w:szCs w:val="24"/>
        </w:rPr>
      </w:pPr>
      <w:r w:rsidRPr="00310EE2">
        <w:rPr>
          <w:rFonts w:ascii="Arial" w:hAnsi="Arial" w:cs="Arial"/>
          <w:b/>
          <w:bCs/>
          <w:spacing w:val="1"/>
          <w:sz w:val="24"/>
          <w:szCs w:val="24"/>
        </w:rPr>
        <w:t>Pilot Randomized Controlled Clinical Trial of a Novel Allogeneic Three-Dimensionally Cultured Stem Cell Therapy to Treat Canine Elbow Dysplasia</w:t>
      </w:r>
    </w:p>
    <w:p w14:paraId="52CDE4BE" w14:textId="51054ECF" w:rsidR="00F31763" w:rsidRPr="004B7F9B" w:rsidRDefault="02559391" w:rsidP="02559391">
      <w:pPr>
        <w:rPr>
          <w:rFonts w:ascii="Arial" w:hAnsi="Arial" w:cs="Arial"/>
          <w:sz w:val="24"/>
          <w:szCs w:val="24"/>
        </w:rPr>
      </w:pPr>
      <w:r w:rsidRPr="02559391">
        <w:rPr>
          <w:rFonts w:ascii="Arial" w:hAnsi="Arial" w:cs="Arial"/>
          <w:b/>
          <w:bCs/>
          <w:sz w:val="24"/>
          <w:szCs w:val="24"/>
        </w:rPr>
        <w:t>Objective:</w:t>
      </w:r>
      <w:r w:rsidRPr="02559391">
        <w:rPr>
          <w:rFonts w:ascii="Arial" w:hAnsi="Arial" w:cs="Arial"/>
          <w:sz w:val="24"/>
          <w:szCs w:val="24"/>
        </w:rPr>
        <w:t xml:space="preserve"> </w:t>
      </w:r>
    </w:p>
    <w:p w14:paraId="718BE2B3" w14:textId="77777777" w:rsidR="000C486D" w:rsidRPr="008E7AA0" w:rsidRDefault="000C486D" w:rsidP="000C486D">
      <w:pPr>
        <w:rPr>
          <w:rFonts w:ascii="Arial" w:hAnsi="Arial" w:cs="Arial"/>
          <w:sz w:val="24"/>
          <w:szCs w:val="24"/>
        </w:rPr>
      </w:pPr>
      <w:r w:rsidRPr="008E7AA0">
        <w:rPr>
          <w:rFonts w:ascii="Arial" w:hAnsi="Arial" w:cs="Arial"/>
          <w:sz w:val="24"/>
          <w:szCs w:val="24"/>
        </w:rPr>
        <w:t>Mesenchymal stem cell (MSC) therapy shows promise for inflammatory joint disease. Traditional two-dimensional expansion may not maximize anti-inflammatory effects, whereas three-dimensional (3D) culture better reproduces cell–cell and matrix cues, enhancing immunomodulation.</w:t>
      </w:r>
      <w:r w:rsidRPr="008E7AA0">
        <w:rPr>
          <w:rFonts w:ascii="Arial" w:hAnsi="Arial" w:cs="Arial"/>
          <w:sz w:val="24"/>
          <w:szCs w:val="24"/>
          <w:vertAlign w:val="superscript"/>
        </w:rPr>
        <w:t>1</w:t>
      </w:r>
      <w:r w:rsidRPr="008E7AA0">
        <w:rPr>
          <w:rFonts w:ascii="Arial" w:hAnsi="Arial" w:cs="Arial"/>
          <w:sz w:val="24"/>
          <w:szCs w:val="24"/>
        </w:rPr>
        <w:t xml:space="preserve"> Experimental work indicates that 3D-cultured MSCs upregulate IL-10 and pro-angiogenic mediators while preserving viability and stemness.</w:t>
      </w:r>
      <w:r w:rsidRPr="008E7AA0">
        <w:rPr>
          <w:rFonts w:ascii="Arial" w:hAnsi="Arial" w:cs="Arial"/>
          <w:sz w:val="24"/>
          <w:szCs w:val="24"/>
          <w:vertAlign w:val="superscript"/>
        </w:rPr>
        <w:t>2</w:t>
      </w:r>
      <w:r w:rsidRPr="008E7AA0">
        <w:rPr>
          <w:rFonts w:ascii="Arial" w:hAnsi="Arial" w:cs="Arial"/>
          <w:sz w:val="24"/>
          <w:szCs w:val="24"/>
        </w:rPr>
        <w:t xml:space="preserve"> In arthritic joints, IL-10 exerts regulatory, anti-inflammatory, and chondroprotective actions. Elbow dysplasia (ED) is a common developmental disorder that leads to early osteoarthritis (OA)</w:t>
      </w:r>
      <w:r>
        <w:rPr>
          <w:rFonts w:ascii="Arial" w:hAnsi="Arial" w:cs="Arial"/>
        </w:rPr>
        <w:t xml:space="preserve"> in dogs</w:t>
      </w:r>
      <w:r w:rsidRPr="008E7AA0">
        <w:rPr>
          <w:rFonts w:ascii="Arial" w:hAnsi="Arial" w:cs="Arial"/>
          <w:sz w:val="24"/>
          <w:szCs w:val="24"/>
        </w:rPr>
        <w:t xml:space="preserve">. Even with arthroscopic fragment removal with subtotal </w:t>
      </w:r>
      <w:proofErr w:type="spellStart"/>
      <w:r w:rsidRPr="008E7AA0">
        <w:rPr>
          <w:rFonts w:ascii="Arial" w:hAnsi="Arial" w:cs="Arial"/>
          <w:sz w:val="24"/>
          <w:szCs w:val="24"/>
        </w:rPr>
        <w:t>coronoidectomy</w:t>
      </w:r>
      <w:proofErr w:type="spellEnd"/>
      <w:r w:rsidRPr="008E7AA0">
        <w:rPr>
          <w:rFonts w:ascii="Arial" w:hAnsi="Arial" w:cs="Arial"/>
          <w:sz w:val="24"/>
          <w:szCs w:val="24"/>
        </w:rPr>
        <w:t xml:space="preserve"> the progression of OA is not halted. While adjuncts such as NSAIDs, physical rehabilitation, and intra-articular injections can help mitigate pain to some degree, many cases become refractory at some point causing significant mobility issues in patients that can ultimately shorten life. Similar refractoriness occurs in other canine OA etiologies, including cranial cruciate ligament disease and hip dysplasia, underscoring the need for novel biologic strategies. We aimed to determine whether intra-articular allogeneic 3D-cultured MSCs are safe and improve postoperative outcomes in dogs with ED compared with control joints over time. We hypothesized that MSC-treated limbs would show greater improvement than controls.</w:t>
      </w:r>
    </w:p>
    <w:p w14:paraId="656EAB5D" w14:textId="013B9F94" w:rsidR="00F31763" w:rsidRPr="004B7F9B" w:rsidRDefault="02559391" w:rsidP="02559391">
      <w:pPr>
        <w:spacing w:before="240" w:after="240"/>
        <w:rPr>
          <w:rFonts w:ascii="Arial" w:hAnsi="Arial" w:cs="Arial"/>
          <w:sz w:val="24"/>
          <w:szCs w:val="24"/>
        </w:rPr>
      </w:pPr>
      <w:r w:rsidRPr="02559391">
        <w:rPr>
          <w:rFonts w:ascii="Arial" w:hAnsi="Arial" w:cs="Arial"/>
          <w:b/>
          <w:bCs/>
          <w:sz w:val="24"/>
          <w:szCs w:val="24"/>
        </w:rPr>
        <w:t>Study Design:</w:t>
      </w:r>
    </w:p>
    <w:p w14:paraId="49C94874" w14:textId="77777777" w:rsidR="000C486D" w:rsidRPr="008E7AA0" w:rsidRDefault="000C486D" w:rsidP="000C486D">
      <w:pPr>
        <w:rPr>
          <w:rFonts w:ascii="Arial" w:hAnsi="Arial" w:cs="Arial"/>
          <w:sz w:val="24"/>
          <w:szCs w:val="24"/>
        </w:rPr>
      </w:pPr>
      <w:r w:rsidRPr="008E7AA0">
        <w:rPr>
          <w:rFonts w:ascii="Arial" w:hAnsi="Arial" w:cs="Arial"/>
          <w:sz w:val="24"/>
          <w:szCs w:val="24"/>
        </w:rPr>
        <w:t xml:space="preserve">We conducted a double-blinded, randomized, controlled pilot trial in client-owned dogs with bilateral ED (fragmented medial coronoid process) under IACUC approval and written owner consent. Diagnosis required forelimb lameness, elbow pain with effusion, and CT confirmation. Exclusions included osteochondrosis, ununited anconeal process, &gt;2-mm incongruity, other orthopedic or neurologic disease, recent steroids/tramadol/gabapentin (≤4 weeks), NSAIDs (≤10 days), prior elbow surgery, or prior joint injections. All dogs underwent arthroscopic fragment removal with subtotal </w:t>
      </w:r>
      <w:proofErr w:type="spellStart"/>
      <w:r w:rsidRPr="008E7AA0">
        <w:rPr>
          <w:rFonts w:ascii="Arial" w:hAnsi="Arial" w:cs="Arial"/>
          <w:sz w:val="24"/>
          <w:szCs w:val="24"/>
        </w:rPr>
        <w:t>coronoidectomy</w:t>
      </w:r>
      <w:proofErr w:type="spellEnd"/>
      <w:r w:rsidRPr="008E7AA0">
        <w:rPr>
          <w:rFonts w:ascii="Arial" w:hAnsi="Arial" w:cs="Arial"/>
          <w:sz w:val="24"/>
          <w:szCs w:val="24"/>
        </w:rPr>
        <w:t xml:space="preserve"> by a single board-certified surgeon. Fifty milliliters of blood were aseptically collected, processed to autologous serum, and stored at −80 °C. </w:t>
      </w:r>
    </w:p>
    <w:p w14:paraId="49ED5FEF" w14:textId="77777777" w:rsidR="000C486D" w:rsidRPr="008E7AA0" w:rsidRDefault="000C486D" w:rsidP="000C486D">
      <w:pPr>
        <w:rPr>
          <w:rFonts w:ascii="Arial" w:hAnsi="Arial" w:cs="Arial"/>
          <w:sz w:val="24"/>
          <w:szCs w:val="24"/>
        </w:rPr>
      </w:pPr>
      <w:r w:rsidRPr="008E7AA0">
        <w:rPr>
          <w:rFonts w:ascii="Arial" w:hAnsi="Arial" w:cs="Arial"/>
          <w:sz w:val="24"/>
          <w:szCs w:val="24"/>
        </w:rPr>
        <w:t>MSCs were obtained from previously isolated, characterized and cryopreserved canine adipose-derived stem cells from an optimal donor. One week before injection, stem cells were thawed, and cultured in stem cell media at 37˚C in a 5% CO</w:t>
      </w:r>
      <w:r w:rsidRPr="008E7AA0">
        <w:rPr>
          <w:rFonts w:ascii="Arial" w:hAnsi="Arial" w:cs="Arial"/>
          <w:sz w:val="24"/>
          <w:szCs w:val="24"/>
          <w:vertAlign w:val="subscript"/>
        </w:rPr>
        <w:t>2</w:t>
      </w:r>
      <w:r w:rsidRPr="008E7AA0">
        <w:rPr>
          <w:rFonts w:ascii="Arial" w:hAnsi="Arial" w:cs="Arial"/>
          <w:sz w:val="24"/>
          <w:szCs w:val="24"/>
        </w:rPr>
        <w:t xml:space="preserve"> incubator with 95% humidity on non-adherent plates with agitation until spheroid formation occurred. Cells were resuspended in autologous serum.</w:t>
      </w:r>
      <w:r>
        <w:rPr>
          <w:rFonts w:ascii="Arial" w:hAnsi="Arial" w:cs="Arial"/>
        </w:rPr>
        <w:t xml:space="preserve"> </w:t>
      </w:r>
      <w:r w:rsidRPr="008E7AA0">
        <w:rPr>
          <w:rFonts w:ascii="Arial" w:hAnsi="Arial" w:cs="Arial"/>
          <w:sz w:val="24"/>
          <w:szCs w:val="24"/>
        </w:rPr>
        <w:t xml:space="preserve">Two weeks postoperatively, one limb was randomized to 10 million allogeneic 3D adipose-derived MSCs in 0.5 mL autologous serum; the contralateral limb received 0.5 mL autologous serum alone. </w:t>
      </w:r>
    </w:p>
    <w:p w14:paraId="32862CD7" w14:textId="77777777" w:rsidR="000C486D" w:rsidRPr="008E7AA0" w:rsidRDefault="000C486D" w:rsidP="000C486D">
      <w:pPr>
        <w:rPr>
          <w:rFonts w:ascii="Arial" w:hAnsi="Arial" w:cs="Arial"/>
          <w:sz w:val="24"/>
          <w:szCs w:val="24"/>
        </w:rPr>
      </w:pPr>
    </w:p>
    <w:p w14:paraId="607305DA" w14:textId="77777777" w:rsidR="000C486D" w:rsidRPr="008E7AA0" w:rsidRDefault="000C486D" w:rsidP="000C486D">
      <w:pPr>
        <w:rPr>
          <w:rFonts w:ascii="Arial" w:hAnsi="Arial" w:cs="Arial"/>
          <w:sz w:val="24"/>
          <w:szCs w:val="24"/>
        </w:rPr>
      </w:pPr>
      <w:r w:rsidRPr="008E7AA0">
        <w:rPr>
          <w:rFonts w:ascii="Arial" w:hAnsi="Arial" w:cs="Arial"/>
          <w:sz w:val="24"/>
          <w:szCs w:val="24"/>
        </w:rPr>
        <w:lastRenderedPageBreak/>
        <w:t>Outcomes included gait analysis (</w:t>
      </w:r>
      <w:proofErr w:type="spellStart"/>
      <w:r w:rsidRPr="008E7AA0">
        <w:rPr>
          <w:rFonts w:ascii="Arial" w:hAnsi="Arial" w:cs="Arial"/>
          <w:sz w:val="24"/>
          <w:szCs w:val="24"/>
        </w:rPr>
        <w:t>Tekscan</w:t>
      </w:r>
      <w:proofErr w:type="spellEnd"/>
      <w:r w:rsidRPr="008E7AA0">
        <w:rPr>
          <w:rFonts w:ascii="Arial" w:hAnsi="Arial" w:cs="Arial"/>
          <w:sz w:val="24"/>
          <w:szCs w:val="24"/>
        </w:rPr>
        <w:t xml:space="preserve"> HRV Walkway), subjective lameness scoring, elbow goniometry, and owner questionnaires (LOAD, CBPI) preoperatively and at 2, 6, 12, 26, and 38 weeks. CBC/chemistry were performed preoperatively and at 2 weeks, with an additional CBC at 12 weeks. CT was repeated at 26 and 38 weeks to quantify osteophytes at predefined locations.</w:t>
      </w:r>
      <w:r w:rsidRPr="008E7AA0">
        <w:rPr>
          <w:rFonts w:ascii="Arial" w:hAnsi="Arial" w:cs="Arial"/>
          <w:sz w:val="24"/>
          <w:szCs w:val="24"/>
          <w:vertAlign w:val="superscript"/>
        </w:rPr>
        <w:t>3</w:t>
      </w:r>
      <w:r w:rsidRPr="008E7AA0">
        <w:rPr>
          <w:rFonts w:ascii="Arial" w:hAnsi="Arial" w:cs="Arial"/>
          <w:sz w:val="24"/>
          <w:szCs w:val="24"/>
        </w:rPr>
        <w:t xml:space="preserve"> Synovial fluid was collected at surgery and at 2 and 24 weeks.</w:t>
      </w:r>
    </w:p>
    <w:p w14:paraId="70E23B63" w14:textId="579DF371" w:rsidR="00F31763" w:rsidRPr="000C486D" w:rsidRDefault="000C486D" w:rsidP="3E79347A">
      <w:pPr>
        <w:rPr>
          <w:rFonts w:ascii="Arial" w:hAnsi="Arial" w:cs="Arial"/>
          <w:spacing w:val="1"/>
          <w:sz w:val="24"/>
          <w:szCs w:val="24"/>
        </w:rPr>
      </w:pPr>
      <w:r w:rsidRPr="008E7AA0">
        <w:rPr>
          <w:rFonts w:ascii="Arial" w:hAnsi="Arial" w:cs="Arial"/>
          <w:sz w:val="24"/>
          <w:szCs w:val="24"/>
        </w:rPr>
        <w:t xml:space="preserve">Statistical analysis of continuous data was performed with repeated measures ANOVA, with Bonferroni post hoc tests. Non parametric testing (Wilcoxon signed rank test) was used for data that was not normally distributed or able to be transformed. Significance was set at </w:t>
      </w:r>
      <w:r w:rsidRPr="008E7AA0">
        <w:rPr>
          <w:rFonts w:ascii="Arial" w:hAnsi="Arial" w:cs="Arial"/>
          <w:i/>
          <w:iCs/>
          <w:sz w:val="24"/>
          <w:szCs w:val="24"/>
        </w:rPr>
        <w:t>p</w:t>
      </w:r>
      <w:r w:rsidRPr="008E7AA0">
        <w:rPr>
          <w:rFonts w:ascii="Arial" w:hAnsi="Arial" w:cs="Arial"/>
          <w:sz w:val="24"/>
          <w:szCs w:val="24"/>
        </w:rPr>
        <w:t>&lt;0.05.</w:t>
      </w:r>
    </w:p>
    <w:p w14:paraId="6B452C6B" w14:textId="7683EB87" w:rsidR="00F31763" w:rsidRPr="004B7F9B" w:rsidRDefault="02559391" w:rsidP="02559391">
      <w:pPr>
        <w:spacing w:before="240" w:after="240"/>
        <w:rPr>
          <w:rFonts w:ascii="Arial" w:hAnsi="Arial" w:cs="Arial"/>
          <w:sz w:val="24"/>
          <w:szCs w:val="24"/>
        </w:rPr>
      </w:pPr>
      <w:r w:rsidRPr="02559391">
        <w:rPr>
          <w:rFonts w:ascii="Arial" w:hAnsi="Arial" w:cs="Arial"/>
          <w:b/>
          <w:bCs/>
          <w:sz w:val="24"/>
          <w:szCs w:val="24"/>
        </w:rPr>
        <w:t>Results:</w:t>
      </w:r>
      <w:r w:rsidRPr="02559391">
        <w:rPr>
          <w:rFonts w:ascii="Arial" w:hAnsi="Arial" w:cs="Arial"/>
          <w:sz w:val="24"/>
          <w:szCs w:val="24"/>
        </w:rPr>
        <w:t xml:space="preserve"> </w:t>
      </w:r>
    </w:p>
    <w:p w14:paraId="320D48EA" w14:textId="4E03229B" w:rsidR="00F31763" w:rsidRPr="004B7F9B" w:rsidRDefault="000C486D">
      <w:pPr>
        <w:rPr>
          <w:rFonts w:ascii="Arial" w:hAnsi="Arial" w:cs="Arial"/>
          <w:sz w:val="24"/>
          <w:szCs w:val="24"/>
        </w:rPr>
      </w:pPr>
      <w:r w:rsidRPr="008E7AA0">
        <w:rPr>
          <w:rFonts w:ascii="Arial" w:hAnsi="Arial" w:cs="Arial"/>
          <w:spacing w:val="1"/>
          <w:sz w:val="24"/>
          <w:szCs w:val="24"/>
        </w:rPr>
        <w:t xml:space="preserve">Nine dogs met the inclusion criteria. Mean age was 13.1 months </w:t>
      </w:r>
      <w:r w:rsidRPr="008E7AA0">
        <w:rPr>
          <w:rFonts w:ascii="Arial" w:hAnsi="Arial" w:cs="Arial"/>
          <w:spacing w:val="1"/>
          <w:sz w:val="24"/>
          <w:szCs w:val="24"/>
        </w:rPr>
        <w:sym w:font="Symbol" w:char="F0B1"/>
      </w:r>
      <w:r w:rsidRPr="008E7AA0">
        <w:rPr>
          <w:rFonts w:ascii="Arial" w:hAnsi="Arial" w:cs="Arial"/>
          <w:spacing w:val="1"/>
          <w:sz w:val="24"/>
          <w:szCs w:val="24"/>
        </w:rPr>
        <w:t xml:space="preserve"> 4.9 (range 7-20), and mean weight of 31.1 kg </w:t>
      </w:r>
      <w:r w:rsidRPr="008E7AA0">
        <w:rPr>
          <w:rFonts w:ascii="Arial" w:hAnsi="Arial" w:cs="Arial"/>
          <w:spacing w:val="1"/>
          <w:sz w:val="24"/>
          <w:szCs w:val="24"/>
        </w:rPr>
        <w:sym w:font="Symbol" w:char="F0B1"/>
      </w:r>
      <w:r w:rsidRPr="008E7AA0">
        <w:rPr>
          <w:rFonts w:ascii="Arial" w:hAnsi="Arial" w:cs="Arial"/>
          <w:spacing w:val="1"/>
          <w:sz w:val="24"/>
          <w:szCs w:val="24"/>
        </w:rPr>
        <w:t xml:space="preserve"> 9 (range 17.2-41 kg). There were 4 Labrador Retrievers, 2 German Shepherd Dogs, and 1 each of Giant Schnauzer, Rottweiler and mixed breed. Initial lameness scores were worse in limbs assigned to treatment than control. Post-operatively, maximum force (a measure of limb loading) was significantly higher in treated limbs at 2, 6, and 26 weeks post-operatively (p &lt; 0.05 and p &lt; 0.01, Figure 1). Subjective lameness scores and goniometry (mean flexion and extension) did not show significant differences between groups at any time point. There was no difference in progression of OA as evaluated via CT between groups. All dogs experienced improved comfort over time as assessed via owner questionnaire with LOAD and CBPI scores improving over time. There were no complications associated with stem cell injection</w:t>
      </w:r>
      <w:r>
        <w:rPr>
          <w:rFonts w:ascii="Arial" w:hAnsi="Arial" w:cs="Arial"/>
          <w:spacing w:val="1"/>
        </w:rPr>
        <w:t xml:space="preserve"> and no significant abnormalities in lab work at any time point</w:t>
      </w:r>
      <w:r w:rsidRPr="008E7AA0">
        <w:rPr>
          <w:rFonts w:ascii="Arial" w:hAnsi="Arial" w:cs="Arial"/>
          <w:spacing w:val="1"/>
          <w:sz w:val="24"/>
          <w:szCs w:val="24"/>
        </w:rPr>
        <w:t>. Joint fluid analysis is pending.</w:t>
      </w:r>
    </w:p>
    <w:p w14:paraId="1F3700A2" w14:textId="0FED9278" w:rsidR="00F31763" w:rsidRPr="004B7F9B" w:rsidRDefault="02559391" w:rsidP="02559391">
      <w:pPr>
        <w:rPr>
          <w:rFonts w:ascii="Arial" w:hAnsi="Arial" w:cs="Arial"/>
          <w:sz w:val="24"/>
          <w:szCs w:val="24"/>
        </w:rPr>
      </w:pPr>
      <w:r w:rsidRPr="02559391">
        <w:rPr>
          <w:rFonts w:ascii="Arial" w:hAnsi="Arial" w:cs="Arial"/>
          <w:b/>
          <w:bCs/>
          <w:sz w:val="24"/>
          <w:szCs w:val="24"/>
        </w:rPr>
        <w:t>Conclusion:</w:t>
      </w:r>
      <w:r w:rsidRPr="02559391">
        <w:rPr>
          <w:rFonts w:ascii="Arial" w:hAnsi="Arial" w:cs="Arial"/>
          <w:sz w:val="24"/>
          <w:szCs w:val="24"/>
        </w:rPr>
        <w:t xml:space="preserve"> </w:t>
      </w:r>
    </w:p>
    <w:p w14:paraId="31FF9F73" w14:textId="77777777" w:rsidR="000C486D" w:rsidRPr="008E7AA0" w:rsidRDefault="000C486D" w:rsidP="000C486D">
      <w:pPr>
        <w:rPr>
          <w:rFonts w:ascii="Arial" w:hAnsi="Arial" w:cs="Arial"/>
          <w:spacing w:val="1"/>
          <w:sz w:val="24"/>
          <w:szCs w:val="24"/>
        </w:rPr>
      </w:pPr>
      <w:r w:rsidRPr="008E7AA0">
        <w:rPr>
          <w:rFonts w:ascii="Arial" w:hAnsi="Arial" w:cs="Arial"/>
          <w:spacing w:val="1"/>
          <w:sz w:val="24"/>
          <w:szCs w:val="24"/>
        </w:rPr>
        <w:t>Intra-articular 3D-cultured allogeneic MSC therapy was safe and associated with improved post-operative</w:t>
      </w:r>
      <w:r>
        <w:rPr>
          <w:rFonts w:ascii="Arial" w:hAnsi="Arial" w:cs="Arial"/>
          <w:spacing w:val="1"/>
        </w:rPr>
        <w:t xml:space="preserve"> limb loading</w:t>
      </w:r>
      <w:r w:rsidRPr="008E7AA0">
        <w:rPr>
          <w:rFonts w:ascii="Arial" w:hAnsi="Arial" w:cs="Arial"/>
          <w:spacing w:val="1"/>
          <w:sz w:val="24"/>
          <w:szCs w:val="24"/>
        </w:rPr>
        <w:t xml:space="preserve"> in dogs with ED. </w:t>
      </w:r>
      <w:r w:rsidRPr="008E7AA0">
        <w:rPr>
          <w:rFonts w:ascii="Arial" w:hAnsi="Arial" w:cs="Arial"/>
          <w:sz w:val="24"/>
          <w:szCs w:val="24"/>
        </w:rPr>
        <w:t>Key limitations include the small, single-center pilot cohort and the contralateral-limb control design, which can be influenced by gait compensation and any systemic spillover of MSC effects. Additionally, follow-up was limited to only 38 weeks. It is unknown if improvement would be seen years later.</w:t>
      </w:r>
    </w:p>
    <w:p w14:paraId="3694D565" w14:textId="77777777" w:rsidR="000C486D" w:rsidRPr="008E7AA0" w:rsidRDefault="000C486D" w:rsidP="000C486D">
      <w:pPr>
        <w:rPr>
          <w:rFonts w:ascii="Arial" w:hAnsi="Arial" w:cs="Arial"/>
          <w:spacing w:val="1"/>
          <w:sz w:val="24"/>
          <w:szCs w:val="24"/>
        </w:rPr>
      </w:pPr>
      <w:r w:rsidRPr="008E7AA0">
        <w:rPr>
          <w:rFonts w:ascii="Arial" w:hAnsi="Arial" w:cs="Arial"/>
          <w:spacing w:val="1"/>
          <w:sz w:val="24"/>
          <w:szCs w:val="24"/>
        </w:rPr>
        <w:t>Despite these limitations, our findings support further investigation in larger and longer-term studies to better define clinical utility. Pending joint fluid analysis will clarify effects on intra-articular biomarkers and inflammation. This pilot study indicates promising innovation toward effective OA management relevant for both veterinary and translational research.</w:t>
      </w:r>
    </w:p>
    <w:p w14:paraId="11A21B2C" w14:textId="5450DA25" w:rsidR="00F31763" w:rsidRDefault="1BFDBFCA" w:rsidP="1BFDBFCA">
      <w:pPr>
        <w:rPr>
          <w:rFonts w:ascii="Arial" w:eastAsia="Arial" w:hAnsi="Arial" w:cs="Arial"/>
          <w:sz w:val="24"/>
          <w:szCs w:val="24"/>
        </w:rPr>
      </w:pPr>
      <w:r w:rsidRPr="1BFDBFCA">
        <w:rPr>
          <w:rFonts w:ascii="Arial" w:hAnsi="Arial" w:cs="Arial"/>
          <w:b/>
          <w:bCs/>
          <w:sz w:val="24"/>
          <w:szCs w:val="24"/>
        </w:rPr>
        <w:t>References:</w:t>
      </w:r>
      <w:r w:rsidRPr="1BFDBFCA">
        <w:rPr>
          <w:rFonts w:ascii="Arial" w:hAnsi="Arial" w:cs="Arial"/>
          <w:sz w:val="24"/>
          <w:szCs w:val="24"/>
        </w:rPr>
        <w:t xml:space="preserve"> </w:t>
      </w:r>
    </w:p>
    <w:p w14:paraId="10181D6D" w14:textId="77777777" w:rsidR="000C486D" w:rsidRPr="008E7AA0" w:rsidRDefault="000C486D" w:rsidP="000C486D">
      <w:pPr>
        <w:pStyle w:val="ListParagraph"/>
        <w:numPr>
          <w:ilvl w:val="0"/>
          <w:numId w:val="3"/>
        </w:numPr>
        <w:spacing w:line="278" w:lineRule="auto"/>
        <w:rPr>
          <w:rFonts w:ascii="Arial" w:hAnsi="Arial" w:cs="Arial"/>
          <w:color w:val="212121"/>
          <w:sz w:val="24"/>
          <w:szCs w:val="24"/>
          <w:shd w:val="clear" w:color="auto" w:fill="FFFFFF"/>
        </w:rPr>
      </w:pPr>
      <w:r w:rsidRPr="008E7AA0">
        <w:rPr>
          <w:rFonts w:ascii="Arial" w:hAnsi="Arial" w:cs="Arial"/>
          <w:color w:val="212121"/>
          <w:sz w:val="24"/>
          <w:szCs w:val="24"/>
          <w:shd w:val="clear" w:color="auto" w:fill="FFFFFF"/>
        </w:rPr>
        <w:lastRenderedPageBreak/>
        <w:t>Bertoni L, Jacquet-</w:t>
      </w:r>
      <w:proofErr w:type="spellStart"/>
      <w:r w:rsidRPr="008E7AA0">
        <w:rPr>
          <w:rFonts w:ascii="Arial" w:hAnsi="Arial" w:cs="Arial"/>
          <w:color w:val="212121"/>
          <w:sz w:val="24"/>
          <w:szCs w:val="24"/>
          <w:shd w:val="clear" w:color="auto" w:fill="FFFFFF"/>
        </w:rPr>
        <w:t>Guibon</w:t>
      </w:r>
      <w:proofErr w:type="spellEnd"/>
      <w:r w:rsidRPr="008E7AA0">
        <w:rPr>
          <w:rFonts w:ascii="Arial" w:hAnsi="Arial" w:cs="Arial"/>
          <w:color w:val="212121"/>
          <w:sz w:val="24"/>
          <w:szCs w:val="24"/>
          <w:shd w:val="clear" w:color="auto" w:fill="FFFFFF"/>
        </w:rPr>
        <w:t xml:space="preserve"> S, Branly T, </w:t>
      </w:r>
      <w:proofErr w:type="spellStart"/>
      <w:r w:rsidRPr="008E7AA0">
        <w:rPr>
          <w:rFonts w:ascii="Arial" w:hAnsi="Arial" w:cs="Arial"/>
          <w:color w:val="212121"/>
          <w:sz w:val="24"/>
          <w:szCs w:val="24"/>
          <w:shd w:val="clear" w:color="auto" w:fill="FFFFFF"/>
        </w:rPr>
        <w:t>Desancé</w:t>
      </w:r>
      <w:proofErr w:type="spellEnd"/>
      <w:r w:rsidRPr="008E7AA0">
        <w:rPr>
          <w:rFonts w:ascii="Arial" w:hAnsi="Arial" w:cs="Arial"/>
          <w:color w:val="212121"/>
          <w:sz w:val="24"/>
          <w:szCs w:val="24"/>
          <w:shd w:val="clear" w:color="auto" w:fill="FFFFFF"/>
        </w:rPr>
        <w:t xml:space="preserve"> M, Legendre F, Melin M, </w:t>
      </w:r>
      <w:proofErr w:type="spellStart"/>
      <w:r w:rsidRPr="008E7AA0">
        <w:rPr>
          <w:rFonts w:ascii="Arial" w:hAnsi="Arial" w:cs="Arial"/>
          <w:color w:val="212121"/>
          <w:sz w:val="24"/>
          <w:szCs w:val="24"/>
          <w:shd w:val="clear" w:color="auto" w:fill="FFFFFF"/>
        </w:rPr>
        <w:t>Rivory</w:t>
      </w:r>
      <w:proofErr w:type="spellEnd"/>
      <w:r w:rsidRPr="008E7AA0">
        <w:rPr>
          <w:rFonts w:ascii="Arial" w:hAnsi="Arial" w:cs="Arial"/>
          <w:color w:val="212121"/>
          <w:sz w:val="24"/>
          <w:szCs w:val="24"/>
          <w:shd w:val="clear" w:color="auto" w:fill="FFFFFF"/>
        </w:rPr>
        <w:t xml:space="preserve"> P, Hartmann DJ, Schmutz A, </w:t>
      </w:r>
      <w:proofErr w:type="spellStart"/>
      <w:r w:rsidRPr="008E7AA0">
        <w:rPr>
          <w:rFonts w:ascii="Arial" w:hAnsi="Arial" w:cs="Arial"/>
          <w:color w:val="212121"/>
          <w:sz w:val="24"/>
          <w:szCs w:val="24"/>
          <w:shd w:val="clear" w:color="auto" w:fill="FFFFFF"/>
        </w:rPr>
        <w:t>Denoix</w:t>
      </w:r>
      <w:proofErr w:type="spellEnd"/>
      <w:r w:rsidRPr="008E7AA0">
        <w:rPr>
          <w:rFonts w:ascii="Arial" w:hAnsi="Arial" w:cs="Arial"/>
          <w:color w:val="212121"/>
          <w:sz w:val="24"/>
          <w:szCs w:val="24"/>
          <w:shd w:val="clear" w:color="auto" w:fill="FFFFFF"/>
        </w:rPr>
        <w:t xml:space="preserve"> JM, Demoor M, </w:t>
      </w:r>
      <w:proofErr w:type="spellStart"/>
      <w:r w:rsidRPr="008E7AA0">
        <w:rPr>
          <w:rFonts w:ascii="Arial" w:hAnsi="Arial" w:cs="Arial"/>
          <w:color w:val="212121"/>
          <w:sz w:val="24"/>
          <w:szCs w:val="24"/>
          <w:shd w:val="clear" w:color="auto" w:fill="FFFFFF"/>
        </w:rPr>
        <w:t>Audigié</w:t>
      </w:r>
      <w:proofErr w:type="spellEnd"/>
      <w:r w:rsidRPr="008E7AA0">
        <w:rPr>
          <w:rFonts w:ascii="Arial" w:hAnsi="Arial" w:cs="Arial"/>
          <w:color w:val="212121"/>
          <w:sz w:val="24"/>
          <w:szCs w:val="24"/>
          <w:shd w:val="clear" w:color="auto" w:fill="FFFFFF"/>
        </w:rPr>
        <w:t xml:space="preserve"> F, </w:t>
      </w:r>
      <w:proofErr w:type="spellStart"/>
      <w:r w:rsidRPr="008E7AA0">
        <w:rPr>
          <w:rFonts w:ascii="Arial" w:hAnsi="Arial" w:cs="Arial"/>
          <w:color w:val="212121"/>
          <w:sz w:val="24"/>
          <w:szCs w:val="24"/>
          <w:shd w:val="clear" w:color="auto" w:fill="FFFFFF"/>
        </w:rPr>
        <w:t>Galéra</w:t>
      </w:r>
      <w:proofErr w:type="spellEnd"/>
      <w:r w:rsidRPr="008E7AA0">
        <w:rPr>
          <w:rFonts w:ascii="Arial" w:hAnsi="Arial" w:cs="Arial"/>
          <w:color w:val="212121"/>
          <w:sz w:val="24"/>
          <w:szCs w:val="24"/>
          <w:shd w:val="clear" w:color="auto" w:fill="FFFFFF"/>
        </w:rPr>
        <w:t xml:space="preserve"> P. Evaluation of Allogeneic Bone-Marrow-Derived and Umbilical Cord Blood-Derived Mesenchymal Stem Cells to Prevent the Development of Osteoarthritis in An Equine Model. Int J Mol Sci. 2021 Mar 2;22(5):2499. </w:t>
      </w:r>
      <w:proofErr w:type="spellStart"/>
      <w:r w:rsidRPr="008E7AA0">
        <w:rPr>
          <w:rFonts w:ascii="Arial" w:hAnsi="Arial" w:cs="Arial"/>
          <w:color w:val="212121"/>
          <w:sz w:val="24"/>
          <w:szCs w:val="24"/>
          <w:shd w:val="clear" w:color="auto" w:fill="FFFFFF"/>
        </w:rPr>
        <w:t>doi</w:t>
      </w:r>
      <w:proofErr w:type="spellEnd"/>
      <w:r w:rsidRPr="008E7AA0">
        <w:rPr>
          <w:rFonts w:ascii="Arial" w:hAnsi="Arial" w:cs="Arial"/>
          <w:color w:val="212121"/>
          <w:sz w:val="24"/>
          <w:szCs w:val="24"/>
          <w:shd w:val="clear" w:color="auto" w:fill="FFFFFF"/>
        </w:rPr>
        <w:t>: 10.3390/ijms22052499. PMID: 33801461; PMCID: PMC7958841.</w:t>
      </w:r>
    </w:p>
    <w:p w14:paraId="082D9FCA" w14:textId="77777777" w:rsidR="000C486D" w:rsidRPr="008E7AA0" w:rsidRDefault="000C486D" w:rsidP="000C486D">
      <w:pPr>
        <w:pStyle w:val="ListParagraph"/>
        <w:numPr>
          <w:ilvl w:val="0"/>
          <w:numId w:val="3"/>
        </w:numPr>
        <w:spacing w:line="278" w:lineRule="auto"/>
        <w:rPr>
          <w:rFonts w:ascii="Arial" w:hAnsi="Arial" w:cs="Arial"/>
          <w:sz w:val="24"/>
          <w:szCs w:val="24"/>
        </w:rPr>
      </w:pPr>
      <w:r w:rsidRPr="008E7AA0">
        <w:rPr>
          <w:rFonts w:ascii="Arial" w:hAnsi="Arial" w:cs="Arial"/>
          <w:color w:val="212121"/>
          <w:sz w:val="24"/>
          <w:szCs w:val="24"/>
          <w:shd w:val="clear" w:color="auto" w:fill="FFFFFF"/>
        </w:rPr>
        <w:t xml:space="preserve">Bogers SH, Barrett JG. Three-Dimensional Culture of Equine Bone Marrow-Derived Mesenchymal Stem Cells Enhances Anti-Inflammatory Properties in a Donor-Dependent Manner. Stem Cells Dev. 2022 Dec;31(23-24):777-786. </w:t>
      </w:r>
      <w:proofErr w:type="spellStart"/>
      <w:r w:rsidRPr="008E7AA0">
        <w:rPr>
          <w:rFonts w:ascii="Arial" w:hAnsi="Arial" w:cs="Arial"/>
          <w:color w:val="212121"/>
          <w:sz w:val="24"/>
          <w:szCs w:val="24"/>
          <w:shd w:val="clear" w:color="auto" w:fill="FFFFFF"/>
        </w:rPr>
        <w:t>doi</w:t>
      </w:r>
      <w:proofErr w:type="spellEnd"/>
      <w:r w:rsidRPr="008E7AA0">
        <w:rPr>
          <w:rFonts w:ascii="Arial" w:hAnsi="Arial" w:cs="Arial"/>
          <w:color w:val="212121"/>
          <w:sz w:val="24"/>
          <w:szCs w:val="24"/>
          <w:shd w:val="clear" w:color="auto" w:fill="FFFFFF"/>
        </w:rPr>
        <w:t xml:space="preserve">: 10.1089/scd.2022.0074. </w:t>
      </w:r>
      <w:proofErr w:type="spellStart"/>
      <w:r w:rsidRPr="008E7AA0">
        <w:rPr>
          <w:rFonts w:ascii="Arial" w:hAnsi="Arial" w:cs="Arial"/>
          <w:color w:val="212121"/>
          <w:sz w:val="24"/>
          <w:szCs w:val="24"/>
          <w:shd w:val="clear" w:color="auto" w:fill="FFFFFF"/>
        </w:rPr>
        <w:t>Epub</w:t>
      </w:r>
      <w:proofErr w:type="spellEnd"/>
      <w:r w:rsidRPr="008E7AA0">
        <w:rPr>
          <w:rFonts w:ascii="Arial" w:hAnsi="Arial" w:cs="Arial"/>
          <w:color w:val="212121"/>
          <w:sz w:val="24"/>
          <w:szCs w:val="24"/>
          <w:shd w:val="clear" w:color="auto" w:fill="FFFFFF"/>
        </w:rPr>
        <w:t xml:space="preserve"> 2022 Nov 11. PMID: 35880425.</w:t>
      </w:r>
    </w:p>
    <w:p w14:paraId="6A29290A" w14:textId="7294A1FC" w:rsidR="00F31763" w:rsidRPr="00C55F3C" w:rsidRDefault="000C486D" w:rsidP="00C55F3C">
      <w:pPr>
        <w:pStyle w:val="ListParagraph"/>
        <w:numPr>
          <w:ilvl w:val="0"/>
          <w:numId w:val="3"/>
        </w:numPr>
        <w:spacing w:line="278" w:lineRule="auto"/>
        <w:rPr>
          <w:rFonts w:ascii="Arial" w:hAnsi="Arial" w:cs="Arial"/>
          <w:sz w:val="24"/>
          <w:szCs w:val="24"/>
        </w:rPr>
      </w:pPr>
      <w:r w:rsidRPr="008E7AA0">
        <w:rPr>
          <w:rFonts w:ascii="Arial" w:hAnsi="Arial" w:cs="Arial"/>
          <w:color w:val="212121"/>
          <w:sz w:val="24"/>
          <w:szCs w:val="24"/>
          <w:shd w:val="clear" w:color="auto" w:fill="FFFFFF"/>
        </w:rPr>
        <w:t xml:space="preserve">Shubert MP, </w:t>
      </w:r>
      <w:proofErr w:type="spellStart"/>
      <w:r w:rsidRPr="008E7AA0">
        <w:rPr>
          <w:rFonts w:ascii="Arial" w:hAnsi="Arial" w:cs="Arial"/>
          <w:color w:val="212121"/>
          <w:sz w:val="24"/>
          <w:szCs w:val="24"/>
          <w:shd w:val="clear" w:color="auto" w:fill="FFFFFF"/>
        </w:rPr>
        <w:t>Filliquist</w:t>
      </w:r>
      <w:proofErr w:type="spellEnd"/>
      <w:r w:rsidRPr="008E7AA0">
        <w:rPr>
          <w:rFonts w:ascii="Arial" w:hAnsi="Arial" w:cs="Arial"/>
          <w:color w:val="212121"/>
          <w:sz w:val="24"/>
          <w:szCs w:val="24"/>
          <w:shd w:val="clear" w:color="auto" w:fill="FFFFFF"/>
        </w:rPr>
        <w:t xml:space="preserve"> B, Chou PY, </w:t>
      </w:r>
      <w:proofErr w:type="spellStart"/>
      <w:r w:rsidRPr="008E7AA0">
        <w:rPr>
          <w:rFonts w:ascii="Arial" w:hAnsi="Arial" w:cs="Arial"/>
          <w:color w:val="212121"/>
          <w:sz w:val="24"/>
          <w:szCs w:val="24"/>
          <w:shd w:val="clear" w:color="auto" w:fill="FFFFFF"/>
        </w:rPr>
        <w:t>Kapatkin</w:t>
      </w:r>
      <w:proofErr w:type="spellEnd"/>
      <w:r w:rsidRPr="008E7AA0">
        <w:rPr>
          <w:rFonts w:ascii="Arial" w:hAnsi="Arial" w:cs="Arial"/>
          <w:color w:val="212121"/>
          <w:sz w:val="24"/>
          <w:szCs w:val="24"/>
          <w:shd w:val="clear" w:color="auto" w:fill="FFFFFF"/>
        </w:rPr>
        <w:t xml:space="preserve"> AS, Spriet M, Kim SY, Garcia TC, Marcellin-Little DJ. Results of using multiplanar reconstructed CT images for assessing elbow joint osteoarthritis in dogs are consistent with results of radiographic assessment. Am J Vet Res. 2022 Aug 13;83(10</w:t>
      </w:r>
      <w:proofErr w:type="gramStart"/>
      <w:r w:rsidRPr="008E7AA0">
        <w:rPr>
          <w:rFonts w:ascii="Arial" w:hAnsi="Arial" w:cs="Arial"/>
          <w:color w:val="212121"/>
          <w:sz w:val="24"/>
          <w:szCs w:val="24"/>
          <w:shd w:val="clear" w:color="auto" w:fill="FFFFFF"/>
        </w:rPr>
        <w:t>):ajvr</w:t>
      </w:r>
      <w:proofErr w:type="gramEnd"/>
      <w:r w:rsidRPr="008E7AA0">
        <w:rPr>
          <w:rFonts w:ascii="Arial" w:hAnsi="Arial" w:cs="Arial"/>
          <w:color w:val="212121"/>
          <w:sz w:val="24"/>
          <w:szCs w:val="24"/>
          <w:shd w:val="clear" w:color="auto" w:fill="FFFFFF"/>
        </w:rPr>
        <w:t xml:space="preserve">.22.04.0066. </w:t>
      </w:r>
      <w:proofErr w:type="spellStart"/>
      <w:r w:rsidRPr="008E7AA0">
        <w:rPr>
          <w:rFonts w:ascii="Arial" w:hAnsi="Arial" w:cs="Arial"/>
          <w:color w:val="212121"/>
          <w:sz w:val="24"/>
          <w:szCs w:val="24"/>
          <w:shd w:val="clear" w:color="auto" w:fill="FFFFFF"/>
        </w:rPr>
        <w:t>doi</w:t>
      </w:r>
      <w:proofErr w:type="spellEnd"/>
      <w:r w:rsidRPr="008E7AA0">
        <w:rPr>
          <w:rFonts w:ascii="Arial" w:hAnsi="Arial" w:cs="Arial"/>
          <w:color w:val="212121"/>
          <w:sz w:val="24"/>
          <w:szCs w:val="24"/>
          <w:shd w:val="clear" w:color="auto" w:fill="FFFFFF"/>
        </w:rPr>
        <w:t>: 10.2460/ajvr.22.04.0066. PMID: 35947679.</w:t>
      </w:r>
    </w:p>
    <w:p w14:paraId="7F936968" w14:textId="48B47540" w:rsidR="3E79347A" w:rsidRPr="000C486D" w:rsidRDefault="3E79347A" w:rsidP="3E79347A">
      <w:pPr>
        <w:rPr>
          <w:rFonts w:ascii="Arial" w:hAnsi="Arial" w:cs="Arial"/>
          <w:spacing w:val="1"/>
          <w:sz w:val="24"/>
          <w:szCs w:val="24"/>
        </w:rPr>
      </w:pPr>
      <w:r w:rsidRPr="3E79347A">
        <w:rPr>
          <w:rFonts w:ascii="Arial" w:hAnsi="Arial" w:cs="Arial"/>
          <w:b/>
          <w:bCs/>
          <w:sz w:val="24"/>
          <w:szCs w:val="24"/>
        </w:rPr>
        <w:t>Acknowledgements:</w:t>
      </w:r>
      <w:r w:rsidRPr="3E79347A">
        <w:rPr>
          <w:rFonts w:ascii="Arial" w:hAnsi="Arial" w:cs="Arial"/>
          <w:sz w:val="24"/>
          <w:szCs w:val="24"/>
        </w:rPr>
        <w:t xml:space="preserve"> </w:t>
      </w:r>
      <w:r w:rsidR="000C486D" w:rsidRPr="008E7AA0">
        <w:rPr>
          <w:rFonts w:ascii="Arial" w:hAnsi="Arial" w:cs="Arial"/>
          <w:spacing w:val="1"/>
          <w:sz w:val="24"/>
          <w:szCs w:val="24"/>
        </w:rPr>
        <w:t>Funding was provided by an OSU Canine Grant, GR117992.</w:t>
      </w:r>
    </w:p>
    <w:sectPr w:rsidR="3E79347A" w:rsidRPr="000C4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DC0E"/>
    <w:multiLevelType w:val="hybridMultilevel"/>
    <w:tmpl w:val="7B140C30"/>
    <w:lvl w:ilvl="0" w:tplc="0D805174">
      <w:start w:val="1"/>
      <w:numFmt w:val="decimal"/>
      <w:lvlText w:val="%1."/>
      <w:lvlJc w:val="left"/>
      <w:pPr>
        <w:ind w:left="720" w:hanging="360"/>
      </w:pPr>
    </w:lvl>
    <w:lvl w:ilvl="1" w:tplc="3AD8E7DC">
      <w:start w:val="1"/>
      <w:numFmt w:val="lowerLetter"/>
      <w:lvlText w:val="%2."/>
      <w:lvlJc w:val="left"/>
      <w:pPr>
        <w:ind w:left="1440" w:hanging="360"/>
      </w:pPr>
    </w:lvl>
    <w:lvl w:ilvl="2" w:tplc="6CA8FC3A">
      <w:start w:val="1"/>
      <w:numFmt w:val="lowerRoman"/>
      <w:lvlText w:val="%3."/>
      <w:lvlJc w:val="right"/>
      <w:pPr>
        <w:ind w:left="2160" w:hanging="180"/>
      </w:pPr>
    </w:lvl>
    <w:lvl w:ilvl="3" w:tplc="E566166C">
      <w:start w:val="1"/>
      <w:numFmt w:val="decimal"/>
      <w:lvlText w:val="%4."/>
      <w:lvlJc w:val="left"/>
      <w:pPr>
        <w:ind w:left="2880" w:hanging="360"/>
      </w:pPr>
    </w:lvl>
    <w:lvl w:ilvl="4" w:tplc="82C64C26">
      <w:start w:val="1"/>
      <w:numFmt w:val="lowerLetter"/>
      <w:lvlText w:val="%5."/>
      <w:lvlJc w:val="left"/>
      <w:pPr>
        <w:ind w:left="3600" w:hanging="360"/>
      </w:pPr>
    </w:lvl>
    <w:lvl w:ilvl="5" w:tplc="B3DEE1EC">
      <w:start w:val="1"/>
      <w:numFmt w:val="lowerRoman"/>
      <w:lvlText w:val="%6."/>
      <w:lvlJc w:val="right"/>
      <w:pPr>
        <w:ind w:left="4320" w:hanging="180"/>
      </w:pPr>
    </w:lvl>
    <w:lvl w:ilvl="6" w:tplc="DC008A0A">
      <w:start w:val="1"/>
      <w:numFmt w:val="decimal"/>
      <w:lvlText w:val="%7."/>
      <w:lvlJc w:val="left"/>
      <w:pPr>
        <w:ind w:left="5040" w:hanging="360"/>
      </w:pPr>
    </w:lvl>
    <w:lvl w:ilvl="7" w:tplc="2DB0184E">
      <w:start w:val="1"/>
      <w:numFmt w:val="lowerLetter"/>
      <w:lvlText w:val="%8."/>
      <w:lvlJc w:val="left"/>
      <w:pPr>
        <w:ind w:left="5760" w:hanging="360"/>
      </w:pPr>
    </w:lvl>
    <w:lvl w:ilvl="8" w:tplc="B43A9AFC">
      <w:start w:val="1"/>
      <w:numFmt w:val="lowerRoman"/>
      <w:lvlText w:val="%9."/>
      <w:lvlJc w:val="right"/>
      <w:pPr>
        <w:ind w:left="6480" w:hanging="180"/>
      </w:pPr>
    </w:lvl>
  </w:abstractNum>
  <w:abstractNum w:abstractNumId="1" w15:restartNumberingAfterBreak="0">
    <w:nsid w:val="1BB35F72"/>
    <w:multiLevelType w:val="hybridMultilevel"/>
    <w:tmpl w:val="DC125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56D577"/>
    <w:multiLevelType w:val="hybridMultilevel"/>
    <w:tmpl w:val="2A2A0A0E"/>
    <w:lvl w:ilvl="0" w:tplc="136427C2">
      <w:start w:val="1"/>
      <w:numFmt w:val="decimal"/>
      <w:lvlText w:val="%1."/>
      <w:lvlJc w:val="left"/>
      <w:pPr>
        <w:ind w:left="720" w:hanging="360"/>
      </w:pPr>
    </w:lvl>
    <w:lvl w:ilvl="1" w:tplc="B7500D30">
      <w:start w:val="1"/>
      <w:numFmt w:val="lowerLetter"/>
      <w:lvlText w:val="%2."/>
      <w:lvlJc w:val="left"/>
      <w:pPr>
        <w:ind w:left="1440" w:hanging="360"/>
      </w:pPr>
    </w:lvl>
    <w:lvl w:ilvl="2" w:tplc="616C0204">
      <w:start w:val="1"/>
      <w:numFmt w:val="lowerRoman"/>
      <w:lvlText w:val="%3."/>
      <w:lvlJc w:val="right"/>
      <w:pPr>
        <w:ind w:left="2160" w:hanging="180"/>
      </w:pPr>
    </w:lvl>
    <w:lvl w:ilvl="3" w:tplc="B53A1A88">
      <w:start w:val="1"/>
      <w:numFmt w:val="decimal"/>
      <w:lvlText w:val="%4."/>
      <w:lvlJc w:val="left"/>
      <w:pPr>
        <w:ind w:left="2880" w:hanging="360"/>
      </w:pPr>
    </w:lvl>
    <w:lvl w:ilvl="4" w:tplc="546AD476">
      <w:start w:val="1"/>
      <w:numFmt w:val="lowerLetter"/>
      <w:lvlText w:val="%5."/>
      <w:lvlJc w:val="left"/>
      <w:pPr>
        <w:ind w:left="3600" w:hanging="360"/>
      </w:pPr>
    </w:lvl>
    <w:lvl w:ilvl="5" w:tplc="5378AB46">
      <w:start w:val="1"/>
      <w:numFmt w:val="lowerRoman"/>
      <w:lvlText w:val="%6."/>
      <w:lvlJc w:val="right"/>
      <w:pPr>
        <w:ind w:left="4320" w:hanging="180"/>
      </w:pPr>
    </w:lvl>
    <w:lvl w:ilvl="6" w:tplc="4E324870">
      <w:start w:val="1"/>
      <w:numFmt w:val="decimal"/>
      <w:lvlText w:val="%7."/>
      <w:lvlJc w:val="left"/>
      <w:pPr>
        <w:ind w:left="5040" w:hanging="360"/>
      </w:pPr>
    </w:lvl>
    <w:lvl w:ilvl="7" w:tplc="64E07B04">
      <w:start w:val="1"/>
      <w:numFmt w:val="lowerLetter"/>
      <w:lvlText w:val="%8."/>
      <w:lvlJc w:val="left"/>
      <w:pPr>
        <w:ind w:left="5760" w:hanging="360"/>
      </w:pPr>
    </w:lvl>
    <w:lvl w:ilvl="8" w:tplc="D33A154C">
      <w:start w:val="1"/>
      <w:numFmt w:val="lowerRoman"/>
      <w:lvlText w:val="%9."/>
      <w:lvlJc w:val="right"/>
      <w:pPr>
        <w:ind w:left="6480" w:hanging="180"/>
      </w:pPr>
    </w:lvl>
  </w:abstractNum>
  <w:num w:numId="1" w16cid:durableId="1743748958">
    <w:abstractNumId w:val="0"/>
  </w:num>
  <w:num w:numId="2" w16cid:durableId="1489059584">
    <w:abstractNumId w:val="2"/>
  </w:num>
  <w:num w:numId="3" w16cid:durableId="80674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0C486D"/>
    <w:rsid w:val="002045EA"/>
    <w:rsid w:val="002F79D8"/>
    <w:rsid w:val="004B7F9B"/>
    <w:rsid w:val="004E181F"/>
    <w:rsid w:val="00531CC2"/>
    <w:rsid w:val="00623AEF"/>
    <w:rsid w:val="007F06F9"/>
    <w:rsid w:val="00B47149"/>
    <w:rsid w:val="00B71961"/>
    <w:rsid w:val="00C55F3C"/>
    <w:rsid w:val="00DD0524"/>
    <w:rsid w:val="00F03BDA"/>
    <w:rsid w:val="00F1275B"/>
    <w:rsid w:val="00F250D2"/>
    <w:rsid w:val="00F31763"/>
    <w:rsid w:val="02559391"/>
    <w:rsid w:val="1BFDBFCA"/>
    <w:rsid w:val="3E793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ListParagraph">
    <w:name w:val="List Paragraph"/>
    <w:basedOn w:val="Normal"/>
    <w:uiPriority w:val="34"/>
    <w:qFormat/>
    <w:rsid w:val="3E793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5602</Characters>
  <Application>Microsoft Office Word</Application>
  <DocSecurity>0</DocSecurity>
  <Lines>46</Lines>
  <Paragraphs>13</Paragraphs>
  <ScaleCrop>false</ScaleCrop>
  <Company>North Carolina State University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Nina K</cp:lastModifiedBy>
  <cp:revision>3</cp:revision>
  <dcterms:created xsi:type="dcterms:W3CDTF">2025-11-02T01:26:00Z</dcterms:created>
  <dcterms:modified xsi:type="dcterms:W3CDTF">2025-11-02T01:27:00Z</dcterms:modified>
</cp:coreProperties>
</file>