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232C" w14:textId="5E12AC85" w:rsidR="009D0F1A" w:rsidRPr="009D0F1A" w:rsidRDefault="009D0F1A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9D0F1A">
        <w:rPr>
          <w:rFonts w:ascii="Arial" w:hAnsi="Arial" w:cs="Arial"/>
          <w:b/>
          <w:bCs/>
          <w:sz w:val="24"/>
          <w:szCs w:val="24"/>
          <w:lang w:val="en-GB"/>
        </w:rPr>
        <w:t>Moderately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U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pright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H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indlimb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onfirmation and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oncurrent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Sacro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iliac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R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egion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ain do not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A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dversely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A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ffect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O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utcome of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urgical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T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reatment of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Hindlimb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roximal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uspensory 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Desmitis</w:t>
      </w:r>
    </w:p>
    <w:p w14:paraId="2566B95F" w14:textId="6356F2A2" w:rsidR="00F31763" w:rsidRPr="009D0F1A" w:rsidRDefault="00762091">
      <w:pPr>
        <w:rPr>
          <w:rFonts w:ascii="Arial" w:hAnsi="Arial" w:cs="Arial"/>
          <w:sz w:val="24"/>
          <w:szCs w:val="24"/>
          <w:lang w:val="en-GB"/>
        </w:rPr>
      </w:pPr>
      <w:r w:rsidRPr="00F616B1">
        <w:rPr>
          <w:rFonts w:ascii="Arial" w:hAnsi="Arial" w:cs="Arial"/>
          <w:b/>
          <w:bCs/>
          <w:sz w:val="24"/>
          <w:szCs w:val="24"/>
        </w:rPr>
        <w:t>Objective:</w:t>
      </w:r>
      <w:r w:rsidRPr="00F616B1">
        <w:rPr>
          <w:rFonts w:ascii="Arial" w:hAnsi="Arial" w:cs="Arial"/>
          <w:sz w:val="24"/>
          <w:szCs w:val="24"/>
        </w:rPr>
        <w:t xml:space="preserve"> </w:t>
      </w:r>
      <w:r w:rsidR="009D0F1A">
        <w:rPr>
          <w:rFonts w:ascii="Arial" w:hAnsi="Arial" w:cs="Arial"/>
          <w:sz w:val="24"/>
          <w:szCs w:val="24"/>
          <w:lang w:val="en-GB"/>
        </w:rPr>
        <w:t>Neurec</w:t>
      </w:r>
      <w:r w:rsidR="009D0F1A" w:rsidRPr="009D0F1A">
        <w:rPr>
          <w:rFonts w:ascii="Arial" w:hAnsi="Arial" w:cs="Arial"/>
          <w:sz w:val="24"/>
          <w:szCs w:val="24"/>
          <w:lang w:val="en-GB"/>
        </w:rPr>
        <w:t>tomy of the deep branch of the lateral plant</w:t>
      </w:r>
      <w:r w:rsidR="009D0F1A">
        <w:rPr>
          <w:rFonts w:ascii="Arial" w:hAnsi="Arial" w:cs="Arial"/>
          <w:sz w:val="24"/>
          <w:szCs w:val="24"/>
          <w:lang w:val="en-GB"/>
        </w:rPr>
        <w:t>a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r nerve </w:t>
      </w:r>
      <w:r w:rsidR="009D0F1A">
        <w:rPr>
          <w:rFonts w:ascii="Arial" w:hAnsi="Arial" w:cs="Arial"/>
          <w:sz w:val="24"/>
          <w:szCs w:val="24"/>
          <w:lang w:val="en-GB"/>
        </w:rPr>
        <w:t xml:space="preserve">(NDBLPN) 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is commonly performed in the surgical treatment of </w:t>
      </w:r>
      <w:r w:rsidR="009D0F1A">
        <w:rPr>
          <w:rFonts w:ascii="Arial" w:hAnsi="Arial" w:cs="Arial"/>
          <w:sz w:val="24"/>
          <w:szCs w:val="24"/>
          <w:lang w:val="en-GB"/>
        </w:rPr>
        <w:t>hindlimb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</w:t>
      </w:r>
      <w:r w:rsidR="009D0F1A">
        <w:rPr>
          <w:rFonts w:ascii="Arial" w:hAnsi="Arial" w:cs="Arial"/>
          <w:sz w:val="24"/>
          <w:szCs w:val="24"/>
          <w:lang w:val="en-GB"/>
        </w:rPr>
        <w:t>p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roximal </w:t>
      </w:r>
      <w:r w:rsidR="009D0F1A">
        <w:rPr>
          <w:rFonts w:ascii="Arial" w:hAnsi="Arial" w:cs="Arial"/>
          <w:sz w:val="24"/>
          <w:szCs w:val="24"/>
          <w:lang w:val="en-GB"/>
        </w:rPr>
        <w:t>s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uspensory </w:t>
      </w:r>
      <w:r w:rsidR="009D0F1A">
        <w:rPr>
          <w:rFonts w:ascii="Arial" w:hAnsi="Arial" w:cs="Arial"/>
          <w:sz w:val="24"/>
          <w:szCs w:val="24"/>
          <w:lang w:val="en-GB"/>
        </w:rPr>
        <w:t>desmitis (HLPSD), g</w:t>
      </w:r>
      <w:r w:rsidR="009D0F1A" w:rsidRPr="009D0F1A">
        <w:rPr>
          <w:rFonts w:ascii="Arial" w:hAnsi="Arial" w:cs="Arial"/>
          <w:sz w:val="24"/>
          <w:szCs w:val="24"/>
          <w:lang w:val="en-GB"/>
        </w:rPr>
        <w:t>enerally with a good long-term prognosis</w:t>
      </w:r>
      <w:r w:rsidR="009D0F1A" w:rsidRPr="009D0F1A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. However, presence of an </w:t>
      </w:r>
      <w:r w:rsidR="009D0F1A">
        <w:rPr>
          <w:rFonts w:ascii="Arial" w:hAnsi="Arial" w:cs="Arial"/>
          <w:sz w:val="24"/>
          <w:szCs w:val="24"/>
          <w:lang w:val="en-GB"/>
        </w:rPr>
        <w:t>upright hindlimb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conf</w:t>
      </w:r>
      <w:r w:rsidR="00EC3595">
        <w:rPr>
          <w:rFonts w:ascii="Arial" w:hAnsi="Arial" w:cs="Arial"/>
          <w:sz w:val="24"/>
          <w:szCs w:val="24"/>
          <w:lang w:val="en-GB"/>
        </w:rPr>
        <w:t>o</w:t>
      </w:r>
      <w:r w:rsidR="009D0F1A" w:rsidRPr="009D0F1A">
        <w:rPr>
          <w:rFonts w:ascii="Arial" w:hAnsi="Arial" w:cs="Arial"/>
          <w:sz w:val="24"/>
          <w:szCs w:val="24"/>
          <w:lang w:val="en-GB"/>
        </w:rPr>
        <w:t>rmation has been reported to be associated with a poor prognosis</w:t>
      </w:r>
      <w:r w:rsidR="009D0F1A">
        <w:rPr>
          <w:rFonts w:ascii="Arial" w:hAnsi="Arial" w:cs="Arial"/>
          <w:sz w:val="24"/>
          <w:szCs w:val="24"/>
          <w:lang w:val="en-GB"/>
        </w:rPr>
        <w:t xml:space="preserve">, with no cases in a published case series with a hock angle </w:t>
      </w:r>
      <w:r w:rsidR="009D0F1A" w:rsidRPr="009D0F1A">
        <w:rPr>
          <w:rFonts w:ascii="Arial" w:hAnsi="Arial" w:cs="Arial"/>
          <w:sz w:val="24"/>
          <w:szCs w:val="24"/>
          <w:lang w:val="en-GB"/>
        </w:rPr>
        <w:t>greater than 150°</w:t>
      </w:r>
      <w:r w:rsidR="009D0F1A">
        <w:rPr>
          <w:rFonts w:ascii="Arial" w:hAnsi="Arial" w:cs="Arial"/>
          <w:sz w:val="24"/>
          <w:szCs w:val="24"/>
          <w:lang w:val="en-GB"/>
        </w:rPr>
        <w:t xml:space="preserve"> having a successful outcome</w:t>
      </w:r>
      <w:r w:rsidR="009D0F1A" w:rsidRPr="009D0F1A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. </w:t>
      </w:r>
      <w:proofErr w:type="gramStart"/>
      <w:r w:rsidR="009D0F1A" w:rsidRPr="009D0F1A">
        <w:rPr>
          <w:rFonts w:ascii="Arial" w:hAnsi="Arial" w:cs="Arial"/>
          <w:sz w:val="24"/>
          <w:szCs w:val="24"/>
          <w:lang w:val="en-GB"/>
        </w:rPr>
        <w:t>Also</w:t>
      </w:r>
      <w:proofErr w:type="gramEnd"/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the concurrent presence of </w:t>
      </w:r>
      <w:r w:rsidR="009D0F1A">
        <w:rPr>
          <w:rFonts w:ascii="Arial" w:hAnsi="Arial" w:cs="Arial"/>
          <w:sz w:val="24"/>
          <w:szCs w:val="24"/>
          <w:lang w:val="en-GB"/>
        </w:rPr>
        <w:t>sacro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iliac </w:t>
      </w:r>
      <w:r w:rsidR="009D0F1A">
        <w:rPr>
          <w:rFonts w:ascii="Arial" w:hAnsi="Arial" w:cs="Arial"/>
          <w:sz w:val="24"/>
          <w:szCs w:val="24"/>
          <w:lang w:val="en-GB"/>
        </w:rPr>
        <w:t>r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egion </w:t>
      </w:r>
      <w:r w:rsidR="009D0F1A">
        <w:rPr>
          <w:rFonts w:ascii="Arial" w:hAnsi="Arial" w:cs="Arial"/>
          <w:sz w:val="24"/>
          <w:szCs w:val="24"/>
          <w:lang w:val="en-GB"/>
        </w:rPr>
        <w:t>p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ain </w:t>
      </w:r>
      <w:r w:rsidR="009D0F1A">
        <w:rPr>
          <w:rFonts w:ascii="Arial" w:hAnsi="Arial" w:cs="Arial"/>
          <w:sz w:val="24"/>
          <w:szCs w:val="24"/>
          <w:lang w:val="en-GB"/>
        </w:rPr>
        <w:t xml:space="preserve">(SRP) 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has been described as having a poor prognosis in association with </w:t>
      </w:r>
      <w:r w:rsidR="009D0F1A">
        <w:rPr>
          <w:rFonts w:ascii="Arial" w:hAnsi="Arial" w:cs="Arial"/>
          <w:sz w:val="24"/>
          <w:szCs w:val="24"/>
          <w:lang w:val="en-GB"/>
        </w:rPr>
        <w:t>HLPSD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, </w:t>
      </w:r>
      <w:r w:rsidR="009D0F1A">
        <w:rPr>
          <w:rFonts w:ascii="Arial" w:hAnsi="Arial" w:cs="Arial"/>
          <w:sz w:val="24"/>
          <w:szCs w:val="24"/>
          <w:lang w:val="en-GB"/>
        </w:rPr>
        <w:t>with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only 17% return</w:t>
      </w:r>
      <w:r w:rsidR="009D0F1A">
        <w:rPr>
          <w:rFonts w:ascii="Arial" w:hAnsi="Arial" w:cs="Arial"/>
          <w:sz w:val="24"/>
          <w:szCs w:val="24"/>
          <w:lang w:val="en-GB"/>
        </w:rPr>
        <w:t>ing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to full function in a recent paper</w:t>
      </w:r>
      <w:r w:rsidR="009D0F1A" w:rsidRPr="009D0F1A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  <w:r w:rsidR="009D0F1A" w:rsidRPr="009D0F1A">
        <w:rPr>
          <w:rFonts w:ascii="Arial" w:hAnsi="Arial" w:cs="Arial"/>
          <w:sz w:val="24"/>
          <w:szCs w:val="24"/>
          <w:lang w:val="en-GB"/>
        </w:rPr>
        <w:t>. Th</w:t>
      </w:r>
      <w:r w:rsidR="009D0F1A">
        <w:rPr>
          <w:rFonts w:ascii="Arial" w:hAnsi="Arial" w:cs="Arial"/>
          <w:sz w:val="24"/>
          <w:szCs w:val="24"/>
          <w:lang w:val="en-GB"/>
        </w:rPr>
        <w:t>ese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</w:t>
      </w:r>
      <w:r w:rsidR="009D0F1A">
        <w:rPr>
          <w:rFonts w:ascii="Arial" w:hAnsi="Arial" w:cs="Arial"/>
          <w:sz w:val="24"/>
          <w:szCs w:val="24"/>
          <w:lang w:val="en-GB"/>
        </w:rPr>
        <w:t>published findings have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led to number of vet</w:t>
      </w:r>
      <w:r w:rsidR="009D0F1A">
        <w:rPr>
          <w:rFonts w:ascii="Arial" w:hAnsi="Arial" w:cs="Arial"/>
          <w:sz w:val="24"/>
          <w:szCs w:val="24"/>
          <w:lang w:val="en-GB"/>
        </w:rPr>
        <w:t>erinary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surgeons not recommending </w:t>
      </w:r>
      <w:r w:rsidR="009D0F1A">
        <w:rPr>
          <w:rFonts w:ascii="Arial" w:hAnsi="Arial" w:cs="Arial"/>
          <w:sz w:val="24"/>
          <w:szCs w:val="24"/>
          <w:lang w:val="en-GB"/>
        </w:rPr>
        <w:t xml:space="preserve">surgical 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treatment </w:t>
      </w:r>
      <w:r w:rsidR="009D0F1A">
        <w:rPr>
          <w:rFonts w:ascii="Arial" w:hAnsi="Arial" w:cs="Arial"/>
          <w:sz w:val="24"/>
          <w:szCs w:val="24"/>
          <w:lang w:val="en-GB"/>
        </w:rPr>
        <w:t>in these cases, despite it having a superior prognosis in comparison to medical treatment</w:t>
      </w:r>
      <w:r w:rsidR="009D0F1A" w:rsidRPr="009D0F1A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="009D0F1A" w:rsidRPr="009D0F1A">
        <w:rPr>
          <w:rFonts w:ascii="Arial" w:hAnsi="Arial" w:cs="Arial"/>
          <w:sz w:val="24"/>
          <w:szCs w:val="24"/>
          <w:lang w:val="en-GB"/>
        </w:rPr>
        <w:t>.</w:t>
      </w:r>
      <w:r w:rsidR="009D0F1A">
        <w:rPr>
          <w:rFonts w:ascii="Arial" w:hAnsi="Arial" w:cs="Arial"/>
          <w:sz w:val="24"/>
          <w:szCs w:val="24"/>
          <w:lang w:val="en-GB"/>
        </w:rPr>
        <w:t xml:space="preserve"> The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hypothesis of this paper is that with appropriate case selection</w:t>
      </w:r>
      <w:r w:rsidR="009D0F1A">
        <w:rPr>
          <w:rFonts w:ascii="Arial" w:hAnsi="Arial" w:cs="Arial"/>
          <w:sz w:val="24"/>
          <w:szCs w:val="24"/>
          <w:lang w:val="en-GB"/>
        </w:rPr>
        <w:t xml:space="preserve"> and treatment,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mode</w:t>
      </w:r>
      <w:r w:rsidR="009D0F1A">
        <w:rPr>
          <w:rFonts w:ascii="Arial" w:hAnsi="Arial" w:cs="Arial"/>
          <w:sz w:val="24"/>
          <w:szCs w:val="24"/>
          <w:lang w:val="en-GB"/>
        </w:rPr>
        <w:t>rately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upright high conf</w:t>
      </w:r>
      <w:r w:rsidR="00EC3595">
        <w:rPr>
          <w:rFonts w:ascii="Arial" w:hAnsi="Arial" w:cs="Arial"/>
          <w:sz w:val="24"/>
          <w:szCs w:val="24"/>
          <w:lang w:val="en-GB"/>
        </w:rPr>
        <w:t>o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rmation and/or concurrent </w:t>
      </w:r>
      <w:r w:rsidR="009D0F1A">
        <w:rPr>
          <w:rFonts w:ascii="Arial" w:hAnsi="Arial" w:cs="Arial"/>
          <w:sz w:val="24"/>
          <w:szCs w:val="24"/>
          <w:lang w:val="en-GB"/>
        </w:rPr>
        <w:t>SRP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do not adversely affect </w:t>
      </w:r>
      <w:r w:rsidR="009D0F1A">
        <w:rPr>
          <w:rFonts w:ascii="Arial" w:hAnsi="Arial" w:cs="Arial"/>
          <w:sz w:val="24"/>
          <w:szCs w:val="24"/>
          <w:lang w:val="en-GB"/>
        </w:rPr>
        <w:t>outcome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, and </w:t>
      </w:r>
      <w:r w:rsidR="009D0F1A">
        <w:rPr>
          <w:rFonts w:ascii="Arial" w:hAnsi="Arial" w:cs="Arial"/>
          <w:sz w:val="24"/>
          <w:szCs w:val="24"/>
          <w:lang w:val="en-GB"/>
        </w:rPr>
        <w:t>NDBLPN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should still be considered a valid treatment option </w:t>
      </w:r>
      <w:r w:rsidR="009D0F1A">
        <w:rPr>
          <w:rFonts w:ascii="Arial" w:hAnsi="Arial" w:cs="Arial"/>
          <w:sz w:val="24"/>
          <w:szCs w:val="24"/>
          <w:lang w:val="en-GB"/>
        </w:rPr>
        <w:t>in</w:t>
      </w:r>
      <w:r w:rsidR="009D0F1A" w:rsidRPr="009D0F1A">
        <w:rPr>
          <w:rFonts w:ascii="Arial" w:hAnsi="Arial" w:cs="Arial"/>
          <w:sz w:val="24"/>
          <w:szCs w:val="24"/>
          <w:lang w:val="en-GB"/>
        </w:rPr>
        <w:t xml:space="preserve"> affected cases. </w:t>
      </w:r>
    </w:p>
    <w:p w14:paraId="70E23B63" w14:textId="6279A7F4" w:rsidR="00F31763" w:rsidRDefault="00531CC2">
      <w:pPr>
        <w:rPr>
          <w:rFonts w:ascii="Arial" w:hAnsi="Arial" w:cs="Arial"/>
          <w:sz w:val="24"/>
          <w:szCs w:val="24"/>
        </w:rPr>
      </w:pPr>
      <w:r w:rsidRPr="00F616B1">
        <w:rPr>
          <w:rFonts w:ascii="Arial" w:hAnsi="Arial" w:cs="Arial"/>
          <w:b/>
          <w:bCs/>
          <w:sz w:val="24"/>
          <w:szCs w:val="24"/>
        </w:rPr>
        <w:t>Study Design:</w:t>
      </w:r>
      <w:r w:rsidR="009E668C" w:rsidRPr="00F616B1">
        <w:rPr>
          <w:rFonts w:ascii="Arial" w:hAnsi="Arial" w:cs="Arial"/>
          <w:b/>
          <w:bCs/>
          <w:sz w:val="24"/>
          <w:szCs w:val="24"/>
        </w:rPr>
        <w:t xml:space="preserve"> </w:t>
      </w:r>
      <w:r w:rsidR="009D0F1A" w:rsidRPr="009D0F1A">
        <w:rPr>
          <w:rFonts w:ascii="Arial" w:hAnsi="Arial" w:cs="Arial"/>
          <w:sz w:val="24"/>
          <w:szCs w:val="24"/>
        </w:rPr>
        <w:t>Prospective and r</w:t>
      </w:r>
      <w:r w:rsidR="009E668C" w:rsidRPr="009D0F1A">
        <w:rPr>
          <w:rFonts w:ascii="Arial" w:hAnsi="Arial" w:cs="Arial"/>
          <w:sz w:val="24"/>
          <w:szCs w:val="24"/>
        </w:rPr>
        <w:t>etrospective case series</w:t>
      </w:r>
    </w:p>
    <w:p w14:paraId="3A605F49" w14:textId="3D0F0366" w:rsidR="00ED0941" w:rsidRDefault="00ED0941" w:rsidP="00ED0941">
      <w:pPr>
        <w:rPr>
          <w:rFonts w:ascii="Arial" w:hAnsi="Arial" w:cs="Arial"/>
          <w:sz w:val="24"/>
          <w:szCs w:val="24"/>
          <w:lang w:val="en-GB"/>
        </w:rPr>
      </w:pPr>
      <w:r w:rsidRPr="009D0F1A">
        <w:rPr>
          <w:rFonts w:ascii="Arial" w:hAnsi="Arial" w:cs="Arial"/>
          <w:b/>
          <w:bCs/>
          <w:sz w:val="24"/>
          <w:szCs w:val="24"/>
          <w:lang w:val="en-GB"/>
        </w:rPr>
        <w:t xml:space="preserve">Materials and </w:t>
      </w:r>
      <w:r>
        <w:rPr>
          <w:rFonts w:ascii="Arial" w:hAnsi="Arial" w:cs="Arial"/>
          <w:b/>
          <w:bCs/>
          <w:sz w:val="24"/>
          <w:szCs w:val="24"/>
          <w:lang w:val="en-GB"/>
        </w:rPr>
        <w:t>M</w:t>
      </w:r>
      <w:r w:rsidRPr="009D0F1A">
        <w:rPr>
          <w:rFonts w:ascii="Arial" w:hAnsi="Arial" w:cs="Arial"/>
          <w:b/>
          <w:bCs/>
          <w:sz w:val="24"/>
          <w:szCs w:val="24"/>
          <w:lang w:val="en-GB"/>
        </w:rPr>
        <w:t>ethods</w:t>
      </w:r>
      <w:r w:rsidRPr="00ED0941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 w:rsidRPr="009D0F1A">
        <w:rPr>
          <w:rFonts w:ascii="Arial" w:hAnsi="Arial" w:cs="Arial"/>
          <w:sz w:val="24"/>
          <w:szCs w:val="24"/>
          <w:u w:val="single"/>
          <w:lang w:val="en-GB"/>
        </w:rPr>
        <w:t>Study one</w:t>
      </w:r>
      <w:r>
        <w:rPr>
          <w:rFonts w:ascii="Arial" w:hAnsi="Arial" w:cs="Arial"/>
          <w:sz w:val="24"/>
          <w:szCs w:val="24"/>
          <w:lang w:val="en-GB"/>
        </w:rPr>
        <w:t>: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a prospective study was performed of </w:t>
      </w:r>
      <w:r>
        <w:rPr>
          <w:rFonts w:ascii="Arial" w:hAnsi="Arial" w:cs="Arial"/>
          <w:sz w:val="24"/>
          <w:szCs w:val="24"/>
          <w:lang w:val="en-GB"/>
        </w:rPr>
        <w:t>NDBLPN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cases </w:t>
      </w:r>
      <w:r>
        <w:rPr>
          <w:rFonts w:ascii="Arial" w:hAnsi="Arial" w:cs="Arial"/>
          <w:sz w:val="24"/>
          <w:szCs w:val="24"/>
          <w:lang w:val="en-GB"/>
        </w:rPr>
        <w:t xml:space="preserve">operated on by the author at </w:t>
      </w:r>
      <w:r w:rsidRPr="009D0F1A">
        <w:rPr>
          <w:rFonts w:ascii="Arial" w:hAnsi="Arial" w:cs="Arial"/>
          <w:sz w:val="24"/>
          <w:szCs w:val="24"/>
          <w:lang w:val="en-GB"/>
        </w:rPr>
        <w:t>a single referral hospital. Preoperative photographs were obtained of the hindquarters with th</w:t>
      </w:r>
      <w:r>
        <w:rPr>
          <w:rFonts w:ascii="Arial" w:hAnsi="Arial" w:cs="Arial"/>
          <w:sz w:val="24"/>
          <w:szCs w:val="24"/>
          <w:lang w:val="en-GB"/>
        </w:rPr>
        <w:t>e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horse</w:t>
      </w:r>
      <w:r>
        <w:rPr>
          <w:rFonts w:ascii="Arial" w:hAnsi="Arial" w:cs="Arial"/>
          <w:sz w:val="24"/>
          <w:szCs w:val="24"/>
          <w:lang w:val="en-GB"/>
        </w:rPr>
        <w:t>s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stood square. The </w:t>
      </w:r>
      <w:r>
        <w:rPr>
          <w:rFonts w:ascii="Arial" w:hAnsi="Arial" w:cs="Arial"/>
          <w:sz w:val="24"/>
          <w:szCs w:val="24"/>
          <w:lang w:val="en-GB"/>
        </w:rPr>
        <w:t xml:space="preserve">hock </w:t>
      </w:r>
      <w:r w:rsidRPr="009D0F1A">
        <w:rPr>
          <w:rFonts w:ascii="Arial" w:hAnsi="Arial" w:cs="Arial"/>
          <w:sz w:val="24"/>
          <w:szCs w:val="24"/>
          <w:lang w:val="en-GB"/>
        </w:rPr>
        <w:t>angles were measured using image analysis software,</w:t>
      </w:r>
      <w:r>
        <w:rPr>
          <w:rFonts w:ascii="Arial" w:hAnsi="Arial" w:cs="Arial"/>
          <w:sz w:val="24"/>
          <w:szCs w:val="24"/>
          <w:lang w:val="en-GB"/>
        </w:rPr>
        <w:t xml:space="preserve"> using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the methodology of R</w:t>
      </w:r>
      <w:r>
        <w:rPr>
          <w:rFonts w:ascii="Arial" w:hAnsi="Arial" w:cs="Arial"/>
          <w:sz w:val="24"/>
          <w:szCs w:val="24"/>
          <w:lang w:val="en-GB"/>
        </w:rPr>
        <w:t xml:space="preserve">outh </w:t>
      </w:r>
      <w:r w:rsidRPr="00ED0941">
        <w:rPr>
          <w:rFonts w:ascii="Arial" w:hAnsi="Arial" w:cs="Arial"/>
          <w:i/>
          <w:iCs/>
          <w:sz w:val="24"/>
          <w:szCs w:val="24"/>
          <w:lang w:val="en-GB"/>
        </w:rPr>
        <w:t>et al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2020</w:t>
      </w:r>
      <w:r w:rsidRPr="00ED0941">
        <w:rPr>
          <w:rFonts w:ascii="Arial" w:hAnsi="Arial" w:cs="Arial"/>
          <w:sz w:val="24"/>
          <w:szCs w:val="24"/>
          <w:vertAlign w:val="superscript"/>
          <w:lang w:val="en-GB"/>
        </w:rPr>
        <w:t>3</w:t>
      </w:r>
      <w:r>
        <w:rPr>
          <w:rFonts w:ascii="Arial" w:hAnsi="Arial" w:cs="Arial"/>
          <w:sz w:val="24"/>
          <w:szCs w:val="24"/>
          <w:lang w:val="en-GB"/>
        </w:rPr>
        <w:t xml:space="preserve">, example image in Figure 1. 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</w:t>
      </w:r>
      <w:r w:rsidRPr="009D0F1A">
        <w:rPr>
          <w:rFonts w:ascii="Arial" w:hAnsi="Arial" w:cs="Arial"/>
          <w:sz w:val="24"/>
          <w:szCs w:val="24"/>
          <w:u w:val="single"/>
          <w:lang w:val="en-GB"/>
        </w:rPr>
        <w:t>Study two</w:t>
      </w:r>
      <w:r w:rsidRPr="00ED0941">
        <w:rPr>
          <w:rFonts w:ascii="Arial" w:hAnsi="Arial" w:cs="Arial"/>
          <w:sz w:val="24"/>
          <w:szCs w:val="24"/>
          <w:u w:val="single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a respective analysis of 234 cases of </w:t>
      </w:r>
      <w:r>
        <w:rPr>
          <w:rFonts w:ascii="Arial" w:hAnsi="Arial" w:cs="Arial"/>
          <w:sz w:val="24"/>
          <w:szCs w:val="24"/>
          <w:lang w:val="en-GB"/>
        </w:rPr>
        <w:t>SRP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assessed by </w:t>
      </w:r>
      <w:r>
        <w:rPr>
          <w:rFonts w:ascii="Arial" w:hAnsi="Arial" w:cs="Arial"/>
          <w:sz w:val="24"/>
          <w:szCs w:val="24"/>
          <w:lang w:val="en-GB"/>
        </w:rPr>
        <w:t>the author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at a </w:t>
      </w:r>
      <w:r>
        <w:rPr>
          <w:rFonts w:ascii="Arial" w:hAnsi="Arial" w:cs="Arial"/>
          <w:sz w:val="24"/>
          <w:szCs w:val="24"/>
          <w:lang w:val="en-GB"/>
        </w:rPr>
        <w:t xml:space="preserve">single 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referral hospital </w:t>
      </w:r>
      <w:r>
        <w:rPr>
          <w:rFonts w:ascii="Arial" w:hAnsi="Arial" w:cs="Arial"/>
          <w:sz w:val="24"/>
          <w:szCs w:val="24"/>
          <w:lang w:val="en-GB"/>
        </w:rPr>
        <w:t xml:space="preserve">were </w:t>
      </w:r>
      <w:r w:rsidRPr="009D0F1A">
        <w:rPr>
          <w:rFonts w:ascii="Arial" w:hAnsi="Arial" w:cs="Arial"/>
          <w:sz w:val="24"/>
          <w:szCs w:val="24"/>
          <w:lang w:val="en-GB"/>
        </w:rPr>
        <w:t>assessed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O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f these 100 </w:t>
      </w:r>
      <w:r>
        <w:rPr>
          <w:rFonts w:ascii="Arial" w:hAnsi="Arial" w:cs="Arial"/>
          <w:sz w:val="24"/>
          <w:szCs w:val="24"/>
          <w:lang w:val="en-GB"/>
        </w:rPr>
        <w:t>underwent NDBLPN</w:t>
      </w:r>
      <w:r w:rsidR="00EC3595">
        <w:rPr>
          <w:rFonts w:ascii="Arial" w:hAnsi="Arial" w:cs="Arial"/>
          <w:sz w:val="24"/>
          <w:szCs w:val="24"/>
          <w:lang w:val="en-GB"/>
        </w:rPr>
        <w:t xml:space="preserve">. SRP was treated by local infiltration with corticosteroids when the horses started canter exercise in the rehabilitation period. 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C3595">
        <w:rPr>
          <w:rFonts w:ascii="Arial" w:hAnsi="Arial" w:cs="Arial"/>
          <w:sz w:val="24"/>
          <w:szCs w:val="24"/>
          <w:lang w:val="en-GB"/>
        </w:rPr>
        <w:t>T</w:t>
      </w:r>
      <w:r w:rsidRPr="009D0F1A">
        <w:rPr>
          <w:rFonts w:ascii="Arial" w:hAnsi="Arial" w:cs="Arial"/>
          <w:sz w:val="24"/>
          <w:szCs w:val="24"/>
          <w:lang w:val="en-GB"/>
        </w:rPr>
        <w:t>he</w:t>
      </w:r>
      <w:proofErr w:type="spellEnd"/>
      <w:r w:rsidRPr="009D0F1A">
        <w:rPr>
          <w:rFonts w:ascii="Arial" w:hAnsi="Arial" w:cs="Arial"/>
          <w:sz w:val="24"/>
          <w:szCs w:val="24"/>
          <w:lang w:val="en-GB"/>
        </w:rPr>
        <w:t xml:space="preserve"> long-term outcome of these was determined by assessing clinical records and telephone follow-up with owners and referring </w:t>
      </w:r>
      <w:r>
        <w:rPr>
          <w:rFonts w:ascii="Arial" w:hAnsi="Arial" w:cs="Arial"/>
          <w:sz w:val="24"/>
          <w:szCs w:val="24"/>
          <w:lang w:val="en-GB"/>
        </w:rPr>
        <w:t>veterinary s</w:t>
      </w:r>
      <w:r w:rsidRPr="009D0F1A">
        <w:rPr>
          <w:rFonts w:ascii="Arial" w:hAnsi="Arial" w:cs="Arial"/>
          <w:sz w:val="24"/>
          <w:szCs w:val="24"/>
          <w:lang w:val="en-GB"/>
        </w:rPr>
        <w:t xml:space="preserve">urgeons. </w:t>
      </w:r>
    </w:p>
    <w:p w14:paraId="320D48EA" w14:textId="4ADD3BE4" w:rsidR="00F31763" w:rsidRPr="00ED0941" w:rsidRDefault="00531CC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F616B1">
        <w:rPr>
          <w:rFonts w:ascii="Arial" w:hAnsi="Arial" w:cs="Arial"/>
          <w:b/>
          <w:bCs/>
          <w:sz w:val="24"/>
          <w:szCs w:val="24"/>
        </w:rPr>
        <w:t>Results:</w:t>
      </w:r>
      <w:r w:rsidR="00ED0941">
        <w:rPr>
          <w:rFonts w:ascii="Arial" w:hAnsi="Arial" w:cs="Arial"/>
          <w:sz w:val="24"/>
          <w:szCs w:val="24"/>
        </w:rPr>
        <w:t xml:space="preserve"> </w:t>
      </w:r>
      <w:r w:rsidR="00ED0941" w:rsidRPr="009D0F1A">
        <w:rPr>
          <w:rFonts w:ascii="Arial" w:hAnsi="Arial" w:cs="Arial"/>
          <w:sz w:val="24"/>
          <w:szCs w:val="24"/>
          <w:u w:val="single"/>
          <w:lang w:val="en-GB"/>
        </w:rPr>
        <w:t>Study one</w:t>
      </w:r>
      <w:r w:rsidR="00ED0941">
        <w:rPr>
          <w:rFonts w:ascii="Arial" w:hAnsi="Arial" w:cs="Arial"/>
          <w:sz w:val="24"/>
          <w:szCs w:val="24"/>
          <w:lang w:val="en-GB"/>
        </w:rPr>
        <w:t>: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 </w:t>
      </w:r>
      <w:r w:rsidR="00EC3595">
        <w:rPr>
          <w:rFonts w:ascii="Arial" w:hAnsi="Arial" w:cs="Arial"/>
          <w:sz w:val="24"/>
          <w:szCs w:val="24"/>
          <w:lang w:val="en-GB"/>
        </w:rPr>
        <w:t>109 horses were measured. T</w:t>
      </w:r>
      <w:r w:rsidR="00ED0941">
        <w:rPr>
          <w:rFonts w:ascii="Arial" w:hAnsi="Arial" w:cs="Arial"/>
          <w:sz w:val="24"/>
          <w:szCs w:val="24"/>
          <w:lang w:val="en-GB"/>
        </w:rPr>
        <w:t xml:space="preserve">he 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mean </w:t>
      </w:r>
      <w:r w:rsidR="00EC3595">
        <w:rPr>
          <w:rFonts w:ascii="Arial" w:hAnsi="Arial" w:cs="Arial"/>
          <w:sz w:val="24"/>
          <w:szCs w:val="24"/>
          <w:lang w:val="en-GB"/>
        </w:rPr>
        <w:t xml:space="preserve">and median </w:t>
      </w:r>
      <w:r w:rsidR="00ED0941" w:rsidRPr="009D0F1A">
        <w:rPr>
          <w:rFonts w:ascii="Arial" w:hAnsi="Arial" w:cs="Arial"/>
          <w:sz w:val="24"/>
          <w:szCs w:val="24"/>
          <w:lang w:val="en-GB"/>
        </w:rPr>
        <w:t>angle was 155°</w:t>
      </w:r>
      <w:r w:rsidR="00ED0941">
        <w:rPr>
          <w:rFonts w:ascii="Arial" w:hAnsi="Arial" w:cs="Arial"/>
          <w:sz w:val="24"/>
          <w:szCs w:val="24"/>
          <w:lang w:val="en-GB"/>
        </w:rPr>
        <w:t>, range 146-164</w:t>
      </w:r>
      <w:r w:rsidR="00ED0941" w:rsidRPr="009D0F1A">
        <w:rPr>
          <w:rFonts w:ascii="Arial" w:hAnsi="Arial" w:cs="Arial"/>
          <w:sz w:val="24"/>
          <w:szCs w:val="24"/>
          <w:lang w:val="en-GB"/>
        </w:rPr>
        <w:t>°</w:t>
      </w:r>
      <w:r w:rsidR="00ED0941">
        <w:rPr>
          <w:rFonts w:ascii="Arial" w:hAnsi="Arial" w:cs="Arial"/>
          <w:sz w:val="24"/>
          <w:szCs w:val="24"/>
          <w:lang w:val="en-GB"/>
        </w:rPr>
        <w:t xml:space="preserve"> 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with no horse </w:t>
      </w:r>
      <w:r w:rsidR="00ED0941">
        <w:rPr>
          <w:rFonts w:ascii="Arial" w:hAnsi="Arial" w:cs="Arial"/>
          <w:sz w:val="24"/>
          <w:szCs w:val="24"/>
          <w:lang w:val="en-GB"/>
        </w:rPr>
        <w:t>measuring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 greater than 165°</w:t>
      </w:r>
      <w:r w:rsidR="00ED0941">
        <w:rPr>
          <w:rFonts w:ascii="Arial" w:hAnsi="Arial" w:cs="Arial"/>
          <w:sz w:val="24"/>
          <w:szCs w:val="24"/>
          <w:lang w:val="en-GB"/>
        </w:rPr>
        <w:t>, see Figure 2. The surgical success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 rate was uniform across the different angles identified</w:t>
      </w:r>
      <w:r w:rsidR="00EC3595">
        <w:rPr>
          <w:rFonts w:ascii="Arial" w:hAnsi="Arial" w:cs="Arial"/>
          <w:sz w:val="24"/>
          <w:szCs w:val="24"/>
          <w:lang w:val="en-GB"/>
        </w:rPr>
        <w:t xml:space="preserve"> at 76% return to full function in this group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. </w:t>
      </w:r>
      <w:r w:rsidR="00ED0941" w:rsidRPr="009D0F1A">
        <w:rPr>
          <w:rFonts w:ascii="Arial" w:hAnsi="Arial" w:cs="Arial"/>
          <w:sz w:val="24"/>
          <w:szCs w:val="24"/>
          <w:u w:val="single"/>
          <w:lang w:val="en-GB"/>
        </w:rPr>
        <w:t>Study t</w:t>
      </w:r>
      <w:r w:rsidR="00ED0941" w:rsidRPr="00ED0941">
        <w:rPr>
          <w:rFonts w:ascii="Arial" w:hAnsi="Arial" w:cs="Arial"/>
          <w:sz w:val="24"/>
          <w:szCs w:val="24"/>
          <w:u w:val="single"/>
          <w:lang w:val="en-GB"/>
        </w:rPr>
        <w:t>w</w:t>
      </w:r>
      <w:r w:rsidR="00ED0941" w:rsidRPr="009D0F1A">
        <w:rPr>
          <w:rFonts w:ascii="Arial" w:hAnsi="Arial" w:cs="Arial"/>
          <w:sz w:val="24"/>
          <w:szCs w:val="24"/>
          <w:u w:val="single"/>
          <w:lang w:val="en-GB"/>
        </w:rPr>
        <w:t>o</w:t>
      </w:r>
      <w:r w:rsidR="00ED0941">
        <w:rPr>
          <w:rFonts w:ascii="Arial" w:hAnsi="Arial" w:cs="Arial"/>
          <w:sz w:val="24"/>
          <w:szCs w:val="24"/>
          <w:lang w:val="en-GB"/>
        </w:rPr>
        <w:t>: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 horses with </w:t>
      </w:r>
      <w:r w:rsidR="00ED0941">
        <w:rPr>
          <w:rFonts w:ascii="Arial" w:hAnsi="Arial" w:cs="Arial"/>
          <w:sz w:val="24"/>
          <w:szCs w:val="24"/>
          <w:lang w:val="en-GB"/>
        </w:rPr>
        <w:t xml:space="preserve">HLPSD treated by NDBLPN and 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concurrent </w:t>
      </w:r>
      <w:r w:rsidR="00ED0941">
        <w:rPr>
          <w:rFonts w:ascii="Arial" w:hAnsi="Arial" w:cs="Arial"/>
          <w:sz w:val="24"/>
          <w:szCs w:val="24"/>
          <w:lang w:val="en-GB"/>
        </w:rPr>
        <w:t>SRP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 ha</w:t>
      </w:r>
      <w:r w:rsidR="00ED0941">
        <w:rPr>
          <w:rFonts w:ascii="Arial" w:hAnsi="Arial" w:cs="Arial"/>
          <w:sz w:val="24"/>
          <w:szCs w:val="24"/>
          <w:lang w:val="en-GB"/>
        </w:rPr>
        <w:t>d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 a 76% return to </w:t>
      </w:r>
      <w:r w:rsidR="00ED0941">
        <w:rPr>
          <w:rFonts w:ascii="Arial" w:hAnsi="Arial" w:cs="Arial"/>
          <w:sz w:val="24"/>
          <w:szCs w:val="24"/>
          <w:lang w:val="en-GB"/>
        </w:rPr>
        <w:t>f</w:t>
      </w:r>
      <w:r w:rsidR="00ED0941" w:rsidRPr="009D0F1A">
        <w:rPr>
          <w:rFonts w:ascii="Arial" w:hAnsi="Arial" w:cs="Arial"/>
          <w:sz w:val="24"/>
          <w:szCs w:val="24"/>
          <w:lang w:val="en-GB"/>
        </w:rPr>
        <w:t>ull function</w:t>
      </w:r>
      <w:r w:rsidR="00ED0941">
        <w:rPr>
          <w:rFonts w:ascii="Arial" w:hAnsi="Arial" w:cs="Arial"/>
          <w:sz w:val="24"/>
          <w:szCs w:val="24"/>
          <w:lang w:val="en-GB"/>
        </w:rPr>
        <w:t>; equivalent to the normally reported success rate</w:t>
      </w:r>
      <w:r w:rsidR="00EC3595" w:rsidRPr="00EC3595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="00ED0941" w:rsidRPr="009D0F1A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53774038" w14:textId="04022CB6" w:rsidR="00EC3595" w:rsidRDefault="00531CC2">
      <w:pPr>
        <w:rPr>
          <w:rFonts w:ascii="Arial" w:hAnsi="Arial" w:cs="Arial"/>
          <w:sz w:val="24"/>
          <w:szCs w:val="24"/>
        </w:rPr>
      </w:pPr>
      <w:r w:rsidRPr="00F616B1">
        <w:rPr>
          <w:rFonts w:ascii="Arial" w:hAnsi="Arial" w:cs="Arial"/>
          <w:b/>
          <w:bCs/>
          <w:sz w:val="24"/>
          <w:szCs w:val="24"/>
        </w:rPr>
        <w:t>Conclusion:</w:t>
      </w:r>
      <w:r w:rsidR="00F31763" w:rsidRPr="00F616B1">
        <w:rPr>
          <w:rFonts w:ascii="Arial" w:hAnsi="Arial" w:cs="Arial"/>
          <w:sz w:val="24"/>
          <w:szCs w:val="24"/>
        </w:rPr>
        <w:t xml:space="preserve"> </w:t>
      </w:r>
      <w:r w:rsidR="00ED0941">
        <w:rPr>
          <w:rFonts w:ascii="Arial" w:hAnsi="Arial" w:cs="Arial"/>
          <w:sz w:val="24"/>
          <w:szCs w:val="24"/>
        </w:rPr>
        <w:t>The hypothesis is supported as neither moderately upright hindlimb conformation or SRP seemed to adversely affect the prognosis of HLP</w:t>
      </w:r>
      <w:r w:rsidR="00EC3595">
        <w:rPr>
          <w:rFonts w:ascii="Arial" w:hAnsi="Arial" w:cs="Arial"/>
          <w:sz w:val="24"/>
          <w:szCs w:val="24"/>
        </w:rPr>
        <w:t>S</w:t>
      </w:r>
      <w:r w:rsidR="00ED0941">
        <w:rPr>
          <w:rFonts w:ascii="Arial" w:hAnsi="Arial" w:cs="Arial"/>
          <w:sz w:val="24"/>
          <w:szCs w:val="24"/>
        </w:rPr>
        <w:t xml:space="preserve">D treated by NDBLPN. </w:t>
      </w:r>
    </w:p>
    <w:p w14:paraId="42B30DE7" w14:textId="1DDF5420" w:rsidR="00F31763" w:rsidRDefault="00ED0941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Although many veterinarians have applied the </w:t>
      </w:r>
      <w:r w:rsidRPr="009D0F1A">
        <w:rPr>
          <w:rFonts w:ascii="Arial" w:hAnsi="Arial" w:cs="Arial"/>
          <w:sz w:val="24"/>
          <w:szCs w:val="24"/>
          <w:lang w:val="en-GB"/>
        </w:rPr>
        <w:t>150°</w:t>
      </w:r>
      <w:r>
        <w:rPr>
          <w:rFonts w:ascii="Arial" w:hAnsi="Arial" w:cs="Arial"/>
          <w:sz w:val="24"/>
          <w:szCs w:val="24"/>
        </w:rPr>
        <w:t xml:space="preserve"> angle as a cut-off for surgical case selection, it is likely that </w:t>
      </w:r>
      <w:r w:rsidR="00EC3595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was incorrectly calculated or reported in the original paper. The same group later studied the </w:t>
      </w:r>
      <w:r w:rsidRPr="00ED0941">
        <w:rPr>
          <w:rFonts w:ascii="Arial" w:hAnsi="Arial" w:cs="Arial"/>
          <w:sz w:val="24"/>
          <w:szCs w:val="24"/>
          <w:lang w:val="en-GB"/>
        </w:rPr>
        <w:t xml:space="preserve">association of hindlimb conformation and suspensory </w:t>
      </w:r>
      <w:r w:rsidRPr="00ED0941">
        <w:rPr>
          <w:rFonts w:ascii="Arial" w:hAnsi="Arial" w:cs="Arial"/>
          <w:sz w:val="24"/>
          <w:szCs w:val="24"/>
          <w:lang w:val="en-GB"/>
        </w:rPr>
        <w:lastRenderedPageBreak/>
        <w:t>desmopathy in sports horses</w:t>
      </w:r>
      <w:r w:rsidRPr="00EC3595">
        <w:rPr>
          <w:rFonts w:ascii="Arial" w:hAnsi="Arial" w:cs="Arial"/>
          <w:sz w:val="24"/>
          <w:szCs w:val="24"/>
          <w:vertAlign w:val="superscript"/>
          <w:lang w:val="en-GB"/>
        </w:rPr>
        <w:t>3</w:t>
      </w:r>
      <w:r>
        <w:rPr>
          <w:rFonts w:ascii="Arial" w:hAnsi="Arial" w:cs="Arial"/>
          <w:sz w:val="24"/>
          <w:szCs w:val="24"/>
          <w:lang w:val="en-GB"/>
        </w:rPr>
        <w:t xml:space="preserve"> and reported an average hock angle of 157</w:t>
      </w:r>
      <w:r w:rsidR="00EC3595" w:rsidRPr="009D0F1A">
        <w:rPr>
          <w:rFonts w:ascii="Arial" w:hAnsi="Arial" w:cs="Arial"/>
          <w:sz w:val="24"/>
          <w:szCs w:val="24"/>
          <w:lang w:val="en-GB"/>
        </w:rPr>
        <w:t>°</w:t>
      </w:r>
      <w:r w:rsidR="00EC359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 control horses and 159</w:t>
      </w:r>
      <w:r w:rsidR="00EC3595" w:rsidRPr="009D0F1A">
        <w:rPr>
          <w:rFonts w:ascii="Arial" w:hAnsi="Arial" w:cs="Arial"/>
          <w:sz w:val="24"/>
          <w:szCs w:val="24"/>
          <w:lang w:val="en-GB"/>
        </w:rPr>
        <w:t>°</w:t>
      </w:r>
      <w:r>
        <w:rPr>
          <w:rFonts w:ascii="Arial" w:hAnsi="Arial" w:cs="Arial"/>
          <w:sz w:val="24"/>
          <w:szCs w:val="24"/>
          <w:lang w:val="en-GB"/>
        </w:rPr>
        <w:t xml:space="preserve"> in horses with HLPSD. They reported the cut-off for a poor prognosis as being 165</w:t>
      </w:r>
      <w:r w:rsidR="00EC3595" w:rsidRPr="009D0F1A">
        <w:rPr>
          <w:rFonts w:ascii="Arial" w:hAnsi="Arial" w:cs="Arial"/>
          <w:sz w:val="24"/>
          <w:szCs w:val="24"/>
          <w:lang w:val="en-GB"/>
        </w:rPr>
        <w:t>°</w:t>
      </w:r>
      <w:r>
        <w:rPr>
          <w:rFonts w:ascii="Arial" w:hAnsi="Arial" w:cs="Arial"/>
          <w:sz w:val="24"/>
          <w:szCs w:val="24"/>
          <w:lang w:val="en-GB"/>
        </w:rPr>
        <w:t>, rather than 150</w:t>
      </w:r>
      <w:r w:rsidR="00EC3595" w:rsidRPr="009D0F1A">
        <w:rPr>
          <w:rFonts w:ascii="Arial" w:hAnsi="Arial" w:cs="Arial"/>
          <w:sz w:val="24"/>
          <w:szCs w:val="24"/>
          <w:lang w:val="en-GB"/>
        </w:rPr>
        <w:t>°</w:t>
      </w:r>
      <w:r>
        <w:rPr>
          <w:rFonts w:ascii="Arial" w:hAnsi="Arial" w:cs="Arial"/>
          <w:sz w:val="24"/>
          <w:szCs w:val="24"/>
          <w:lang w:val="en-GB"/>
        </w:rPr>
        <w:t>. This is consistent with the case series reported here, where no horses with a hock angle greater than 165</w:t>
      </w:r>
      <w:r w:rsidR="00EC3595" w:rsidRPr="009D0F1A">
        <w:rPr>
          <w:rFonts w:ascii="Arial" w:hAnsi="Arial" w:cs="Arial"/>
          <w:sz w:val="24"/>
          <w:szCs w:val="24"/>
          <w:lang w:val="en-GB"/>
        </w:rPr>
        <w:t>°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EC3595">
        <w:rPr>
          <w:rFonts w:ascii="Arial" w:hAnsi="Arial" w:cs="Arial"/>
          <w:sz w:val="24"/>
          <w:szCs w:val="24"/>
          <w:lang w:val="en-GB"/>
        </w:rPr>
        <w:t>undergoing surgical treatment.</w:t>
      </w:r>
    </w:p>
    <w:p w14:paraId="15DBE6E4" w14:textId="7E264984" w:rsidR="00EC3595" w:rsidRPr="00F616B1" w:rsidRDefault="00EC35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In our experience the majority of sport horses with HLPSD also have a degree of SRP if a thorough orthopaedic work-up is performed, and we try to identify this pre-operatively. Horses undergo a rehabilitation program with a minimum of two re-examinations, and medication of the sacroiliac region when in cantering exercise. It is possible that the difference in success rate compared to Nagy </w:t>
      </w:r>
      <w:r w:rsidRPr="00EC3595">
        <w:rPr>
          <w:rFonts w:ascii="Arial" w:hAnsi="Arial" w:cs="Arial"/>
          <w:i/>
          <w:iCs/>
          <w:sz w:val="24"/>
          <w:szCs w:val="24"/>
          <w:lang w:val="en-GB"/>
        </w:rPr>
        <w:t>et al</w:t>
      </w:r>
      <w:r>
        <w:rPr>
          <w:rFonts w:ascii="Arial" w:hAnsi="Arial" w:cs="Arial"/>
          <w:sz w:val="24"/>
          <w:szCs w:val="24"/>
          <w:lang w:val="en-GB"/>
        </w:rPr>
        <w:t xml:space="preserve"> 20202 is related to the degree of post-operative monitoring, and the fact that sacroiliac medication is performed when horses are in work rather than at the time of surgery. </w:t>
      </w:r>
    </w:p>
    <w:p w14:paraId="6A29290A" w14:textId="270886B3" w:rsidR="00F31763" w:rsidRPr="00F616B1" w:rsidRDefault="00531CC2">
      <w:pPr>
        <w:rPr>
          <w:rFonts w:ascii="Arial" w:hAnsi="Arial" w:cs="Arial"/>
          <w:sz w:val="24"/>
          <w:szCs w:val="24"/>
        </w:rPr>
      </w:pPr>
      <w:r w:rsidRPr="00F616B1">
        <w:rPr>
          <w:rFonts w:ascii="Arial" w:hAnsi="Arial" w:cs="Arial"/>
          <w:b/>
          <w:bCs/>
          <w:sz w:val="24"/>
          <w:szCs w:val="24"/>
        </w:rPr>
        <w:t>References:</w:t>
      </w:r>
      <w:r w:rsidR="00F31763" w:rsidRPr="00F616B1">
        <w:rPr>
          <w:rFonts w:ascii="Arial" w:hAnsi="Arial" w:cs="Arial"/>
          <w:sz w:val="24"/>
          <w:szCs w:val="24"/>
        </w:rPr>
        <w:t xml:space="preserve"> </w:t>
      </w:r>
    </w:p>
    <w:p w14:paraId="339A26A6" w14:textId="77777777" w:rsidR="00ED0941" w:rsidRPr="00ED0941" w:rsidRDefault="00ED0941" w:rsidP="00ED09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D0941">
        <w:rPr>
          <w:rFonts w:ascii="Arial" w:hAnsi="Arial" w:cs="Arial"/>
          <w:sz w:val="24"/>
          <w:szCs w:val="24"/>
          <w:lang w:val="en-GB"/>
        </w:rPr>
        <w:t xml:space="preserve">Dyson, S. and Murray, R.C. (2012) Management of hindlimb proximal suspensory desmopathy by neurectomy of the deep branch of the lateral plantar nerve and plantar fasciotomy: 155 horses (2003- 2008). Equine Vet. J. 44, 361-367. </w:t>
      </w:r>
    </w:p>
    <w:p w14:paraId="682A7D15" w14:textId="09824692" w:rsidR="00ED0941" w:rsidRPr="00F616B1" w:rsidRDefault="00ED0941" w:rsidP="009E668C">
      <w:pPr>
        <w:pStyle w:val="ListParagraph"/>
        <w:numPr>
          <w:ilvl w:val="0"/>
          <w:numId w:val="1"/>
        </w:numPr>
        <w:rPr>
          <w:rStyle w:val="apple-converted-space"/>
          <w:rFonts w:ascii="Arial" w:hAnsi="Arial" w:cs="Arial"/>
          <w:color w:val="1C1D1E"/>
          <w:sz w:val="24"/>
          <w:szCs w:val="24"/>
        </w:rPr>
      </w:pPr>
      <w:r w:rsidRPr="00ED0941">
        <w:rPr>
          <w:rFonts w:ascii="Arial" w:hAnsi="Arial" w:cs="Arial"/>
          <w:color w:val="1C1D1E"/>
          <w:sz w:val="24"/>
          <w:szCs w:val="24"/>
        </w:rPr>
        <w:t xml:space="preserve">A. Nagy, L.E. Quiney, S.J. Dyson (2020) Long-term outcome of 84 horses with sacroiliac joint region pain with (n=69) or without (N=15) other </w:t>
      </w:r>
      <w:proofErr w:type="spellStart"/>
      <w:r w:rsidRPr="00ED0941">
        <w:rPr>
          <w:rFonts w:ascii="Arial" w:hAnsi="Arial" w:cs="Arial"/>
          <w:color w:val="1C1D1E"/>
          <w:sz w:val="24"/>
          <w:szCs w:val="24"/>
        </w:rPr>
        <w:t>orthopaedic</w:t>
      </w:r>
      <w:proofErr w:type="spellEnd"/>
      <w:r w:rsidRPr="00ED0941">
        <w:rPr>
          <w:rFonts w:ascii="Arial" w:hAnsi="Arial" w:cs="Arial"/>
          <w:color w:val="1C1D1E"/>
          <w:sz w:val="24"/>
          <w:szCs w:val="24"/>
        </w:rPr>
        <w:t xml:space="preserve"> problems </w:t>
      </w:r>
      <w:r w:rsidRPr="00ED0941">
        <w:rPr>
          <w:rFonts w:ascii="Arial" w:hAnsi="Arial" w:cs="Arial"/>
          <w:i/>
          <w:iCs/>
          <w:color w:val="1C1D1E"/>
          <w:sz w:val="24"/>
          <w:szCs w:val="24"/>
        </w:rPr>
        <w:t>Equine vet. Educ</w:t>
      </w:r>
      <w:r w:rsidRPr="00ED0941">
        <w:rPr>
          <w:rFonts w:ascii="Arial" w:hAnsi="Arial" w:cs="Arial"/>
          <w:color w:val="1C1D1E"/>
          <w:sz w:val="24"/>
          <w:szCs w:val="24"/>
        </w:rPr>
        <w:t>. </w:t>
      </w:r>
      <w:r w:rsidRPr="00ED0941">
        <w:rPr>
          <w:rFonts w:ascii="Arial" w:hAnsi="Arial" w:cs="Arial"/>
          <w:b/>
          <w:bCs/>
          <w:color w:val="1C1D1E"/>
          <w:sz w:val="24"/>
          <w:szCs w:val="24"/>
        </w:rPr>
        <w:t>32, </w:t>
      </w:r>
      <w:r w:rsidRPr="00ED0941">
        <w:rPr>
          <w:rFonts w:ascii="Arial" w:hAnsi="Arial" w:cs="Arial"/>
          <w:color w:val="1C1D1E"/>
          <w:sz w:val="24"/>
          <w:szCs w:val="24"/>
        </w:rPr>
        <w:t>129-135</w:t>
      </w:r>
    </w:p>
    <w:p w14:paraId="587898F3" w14:textId="77777777" w:rsidR="00ED0941" w:rsidRPr="00ED0941" w:rsidRDefault="00ED0941" w:rsidP="00ED09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D0941">
        <w:rPr>
          <w:rFonts w:ascii="Arial" w:hAnsi="Arial" w:cs="Arial"/>
          <w:sz w:val="24"/>
          <w:szCs w:val="24"/>
          <w:lang w:val="en-GB"/>
        </w:rPr>
        <w:t>Routh, J., Strang, C., Gilligan, S., and Dyson, S. (2020) An investigation of the association of hindlimb conformation and suspensory desmopathy in sports horses. Equine vet Educ. 32, 183-192.</w:t>
      </w:r>
    </w:p>
    <w:p w14:paraId="6F8F9695" w14:textId="4AF5E144" w:rsidR="00F616B1" w:rsidRPr="00F616B1" w:rsidRDefault="00531CC2" w:rsidP="00ED0941">
      <w:pPr>
        <w:rPr>
          <w:rFonts w:ascii="Arial" w:hAnsi="Arial" w:cs="Arial"/>
          <w:color w:val="000000" w:themeColor="text1"/>
          <w:lang w:val="en-GB"/>
        </w:rPr>
      </w:pPr>
      <w:r w:rsidRPr="00F616B1">
        <w:rPr>
          <w:rFonts w:ascii="Arial" w:hAnsi="Arial" w:cs="Arial"/>
          <w:b/>
          <w:bCs/>
          <w:sz w:val="24"/>
          <w:szCs w:val="24"/>
        </w:rPr>
        <w:t>Acknowledgements:</w:t>
      </w:r>
      <w:r w:rsidR="009E668C" w:rsidRPr="00F616B1">
        <w:rPr>
          <w:rFonts w:ascii="Arial" w:hAnsi="Arial" w:cs="Arial"/>
          <w:color w:val="C00000"/>
          <w:sz w:val="24"/>
          <w:szCs w:val="24"/>
        </w:rPr>
        <w:t xml:space="preserve"> </w:t>
      </w:r>
      <w:r w:rsidR="009D0F1A">
        <w:rPr>
          <w:rFonts w:ascii="Arial" w:hAnsi="Arial" w:cs="Arial"/>
          <w:color w:val="000000" w:themeColor="text1"/>
          <w:sz w:val="24"/>
          <w:szCs w:val="24"/>
        </w:rPr>
        <w:t>Isabelle Talbot-Price and Emma Davies</w:t>
      </w:r>
      <w:r w:rsidR="0057374D" w:rsidRPr="00F616B1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9D0F1A">
        <w:rPr>
          <w:rFonts w:ascii="Arial" w:hAnsi="Arial" w:cs="Arial"/>
          <w:color w:val="000000" w:themeColor="text1"/>
          <w:sz w:val="24"/>
          <w:szCs w:val="24"/>
        </w:rPr>
        <w:t xml:space="preserve">assistance with </w:t>
      </w:r>
      <w:r w:rsidR="0057374D" w:rsidRPr="00F616B1">
        <w:rPr>
          <w:rFonts w:ascii="Arial" w:hAnsi="Arial" w:cs="Arial"/>
          <w:color w:val="000000" w:themeColor="text1"/>
          <w:sz w:val="24"/>
          <w:szCs w:val="24"/>
        </w:rPr>
        <w:t>data collection</w:t>
      </w:r>
      <w:r w:rsidR="009D0F1A">
        <w:rPr>
          <w:rFonts w:ascii="Arial" w:hAnsi="Arial" w:cs="Arial"/>
          <w:color w:val="000000" w:themeColor="text1"/>
          <w:sz w:val="24"/>
          <w:szCs w:val="24"/>
        </w:rPr>
        <w:t xml:space="preserve"> and analysis</w:t>
      </w:r>
      <w:r w:rsidR="00F616B1">
        <w:rPr>
          <w:rFonts w:ascii="Arial" w:hAnsi="Arial" w:cs="Arial"/>
          <w:color w:val="000000" w:themeColor="text1"/>
          <w:sz w:val="24"/>
          <w:szCs w:val="24"/>
        </w:rPr>
        <w:t>.</w:t>
      </w:r>
      <w:r w:rsidR="00F616B1" w:rsidRPr="009D0F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16B1" w:rsidRPr="009D0F1A">
        <w:rPr>
          <w:rFonts w:ascii="Arial" w:hAnsi="Arial" w:cs="Arial"/>
          <w:color w:val="000000" w:themeColor="text1"/>
          <w:sz w:val="24"/>
          <w:szCs w:val="24"/>
          <w:lang w:val="en-GB"/>
        </w:rPr>
        <w:t>There was no proprietary interest or funding provided for this project.</w:t>
      </w:r>
      <w:r w:rsidR="00F616B1" w:rsidRPr="00F616B1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48184178" w14:textId="7290C212" w:rsidR="00B71961" w:rsidRPr="00F616B1" w:rsidRDefault="00B71961" w:rsidP="00B71961">
      <w:pPr>
        <w:rPr>
          <w:rFonts w:ascii="Arial" w:hAnsi="Arial" w:cs="Arial"/>
          <w:sz w:val="24"/>
          <w:szCs w:val="24"/>
        </w:rPr>
      </w:pPr>
    </w:p>
    <w:p w14:paraId="3574B9A5" w14:textId="77777777" w:rsidR="00ED0941" w:rsidRPr="00F616B1" w:rsidRDefault="00ED0941">
      <w:pPr>
        <w:rPr>
          <w:rFonts w:ascii="Arial" w:hAnsi="Arial" w:cs="Arial"/>
          <w:sz w:val="24"/>
          <w:szCs w:val="24"/>
        </w:rPr>
      </w:pPr>
    </w:p>
    <w:sectPr w:rsidR="00ED0941" w:rsidRPr="00F61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C97"/>
    <w:multiLevelType w:val="multilevel"/>
    <w:tmpl w:val="9F2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B3CCA"/>
    <w:multiLevelType w:val="hybridMultilevel"/>
    <w:tmpl w:val="471EA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36299">
    <w:abstractNumId w:val="1"/>
  </w:num>
  <w:num w:numId="2" w16cid:durableId="49056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63"/>
    <w:rsid w:val="00061FA9"/>
    <w:rsid w:val="002045EA"/>
    <w:rsid w:val="002F79D8"/>
    <w:rsid w:val="003030C6"/>
    <w:rsid w:val="004B7F9B"/>
    <w:rsid w:val="004C098C"/>
    <w:rsid w:val="00531CC2"/>
    <w:rsid w:val="0057374D"/>
    <w:rsid w:val="00623AEF"/>
    <w:rsid w:val="00762091"/>
    <w:rsid w:val="007B60E2"/>
    <w:rsid w:val="007F06F9"/>
    <w:rsid w:val="00902D83"/>
    <w:rsid w:val="009D0F1A"/>
    <w:rsid w:val="009E668C"/>
    <w:rsid w:val="00B47149"/>
    <w:rsid w:val="00B71961"/>
    <w:rsid w:val="00C578A2"/>
    <w:rsid w:val="00DD0524"/>
    <w:rsid w:val="00EC3595"/>
    <w:rsid w:val="00ED0941"/>
    <w:rsid w:val="00F1275B"/>
    <w:rsid w:val="00F250D2"/>
    <w:rsid w:val="00F31763"/>
    <w:rsid w:val="00F6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8413"/>
  <w15:chartTrackingRefBased/>
  <w15:docId w15:val="{CC84EF8A-1AF4-4040-A39A-B739614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763"/>
    <w:rPr>
      <w:color w:val="808080"/>
    </w:rPr>
  </w:style>
  <w:style w:type="character" w:customStyle="1" w:styleId="author">
    <w:name w:val="author"/>
    <w:basedOn w:val="DefaultParagraphFont"/>
    <w:rsid w:val="009E668C"/>
  </w:style>
  <w:style w:type="character" w:customStyle="1" w:styleId="apple-converted-space">
    <w:name w:val="apple-converted-space"/>
    <w:basedOn w:val="DefaultParagraphFont"/>
    <w:rsid w:val="009E668C"/>
  </w:style>
  <w:style w:type="character" w:customStyle="1" w:styleId="articletitle">
    <w:name w:val="articletitle"/>
    <w:basedOn w:val="DefaultParagraphFont"/>
    <w:rsid w:val="009E668C"/>
  </w:style>
  <w:style w:type="character" w:customStyle="1" w:styleId="pubyear">
    <w:name w:val="pubyear"/>
    <w:basedOn w:val="DefaultParagraphFont"/>
    <w:rsid w:val="009E668C"/>
  </w:style>
  <w:style w:type="character" w:customStyle="1" w:styleId="vol">
    <w:name w:val="vol"/>
    <w:basedOn w:val="DefaultParagraphFont"/>
    <w:rsid w:val="009E668C"/>
  </w:style>
  <w:style w:type="character" w:customStyle="1" w:styleId="pagefirst">
    <w:name w:val="pagefirst"/>
    <w:basedOn w:val="DefaultParagraphFont"/>
    <w:rsid w:val="009E668C"/>
  </w:style>
  <w:style w:type="character" w:customStyle="1" w:styleId="pagelast">
    <w:name w:val="pagelast"/>
    <w:basedOn w:val="DefaultParagraphFont"/>
    <w:rsid w:val="009E668C"/>
  </w:style>
  <w:style w:type="character" w:customStyle="1" w:styleId="citedissue">
    <w:name w:val="citedissue"/>
    <w:basedOn w:val="DefaultParagraphFont"/>
    <w:rsid w:val="009E668C"/>
  </w:style>
  <w:style w:type="character" w:customStyle="1" w:styleId="chaptertitle">
    <w:name w:val="chaptertitle"/>
    <w:basedOn w:val="DefaultParagraphFont"/>
    <w:rsid w:val="009E668C"/>
  </w:style>
  <w:style w:type="character" w:customStyle="1" w:styleId="booktitle">
    <w:name w:val="booktitle"/>
    <w:basedOn w:val="DefaultParagraphFont"/>
    <w:rsid w:val="009E668C"/>
  </w:style>
  <w:style w:type="paragraph" w:styleId="ListParagraph">
    <w:name w:val="List Paragraph"/>
    <w:basedOn w:val="Normal"/>
    <w:uiPriority w:val="34"/>
    <w:qFormat/>
    <w:rsid w:val="009E66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6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DC7A-7E89-4596-9D2D-73753566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Nicole McGee</dc:creator>
  <cp:keywords/>
  <dc:description/>
  <cp:lastModifiedBy>Andy Bathe</cp:lastModifiedBy>
  <cp:revision>4</cp:revision>
  <dcterms:created xsi:type="dcterms:W3CDTF">2025-11-01T21:38:00Z</dcterms:created>
  <dcterms:modified xsi:type="dcterms:W3CDTF">2025-11-01T23:03:00Z</dcterms:modified>
</cp:coreProperties>
</file>