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3BFA" w14:textId="77777777" w:rsidR="001C4675" w:rsidRPr="001C4675" w:rsidRDefault="001C4675" w:rsidP="001C4675">
      <w:pPr>
        <w:spacing w:after="0" w:line="240" w:lineRule="auto"/>
        <w:textAlignment w:val="baseline"/>
        <w:rPr>
          <w:rFonts w:ascii="Segoe UI" w:eastAsia="Times New Roman" w:hAnsi="Segoe UI" w:cs="Segoe UI"/>
          <w:kern w:val="0"/>
          <w:sz w:val="18"/>
          <w:szCs w:val="18"/>
          <w14:ligatures w14:val="none"/>
        </w:rPr>
      </w:pPr>
      <w:r w:rsidRPr="001C4675">
        <w:rPr>
          <w:rFonts w:ascii="Arial" w:eastAsiaTheme="majorEastAsia" w:hAnsi="Arial" w:cs="Arial"/>
          <w:b/>
          <w:bCs/>
          <w:kern w:val="0"/>
          <w14:ligatures w14:val="none"/>
        </w:rPr>
        <w:t>Evaluation of cats receiving Frunevetmab or Meloxicam over 56 days for the treatment of Osteoarthritis</w:t>
      </w:r>
      <w:r w:rsidRPr="001C4675">
        <w:rPr>
          <w:rFonts w:ascii="Arial" w:eastAsiaTheme="majorEastAsia" w:hAnsi="Arial" w:cs="Arial"/>
          <w:kern w:val="0"/>
          <w14:ligatures w14:val="none"/>
        </w:rPr>
        <w:t>   </w:t>
      </w:r>
    </w:p>
    <w:p w14:paraId="139ACF06" w14:textId="77777777" w:rsidR="001C4675" w:rsidRPr="001C4675" w:rsidRDefault="001C4675" w:rsidP="001C4675">
      <w:pPr>
        <w:spacing w:after="0" w:line="240" w:lineRule="auto"/>
        <w:textAlignment w:val="baseline"/>
        <w:rPr>
          <w:rFonts w:ascii="Arial" w:eastAsiaTheme="majorEastAsia" w:hAnsi="Arial" w:cs="Arial"/>
          <w:b/>
          <w:bCs/>
          <w:kern w:val="0"/>
          <w14:ligatures w14:val="none"/>
        </w:rPr>
      </w:pPr>
    </w:p>
    <w:p w14:paraId="3504CD8E" w14:textId="77777777" w:rsidR="001C4675" w:rsidRPr="001C4675" w:rsidRDefault="001C4675" w:rsidP="001C4675">
      <w:pPr>
        <w:spacing w:after="0" w:line="240" w:lineRule="auto"/>
        <w:textAlignment w:val="baseline"/>
        <w:rPr>
          <w:rFonts w:ascii="Segoe UI" w:eastAsia="Times New Roman" w:hAnsi="Segoe UI" w:cs="Segoe UI"/>
          <w:kern w:val="0"/>
          <w:sz w:val="18"/>
          <w:szCs w:val="18"/>
          <w14:ligatures w14:val="none"/>
        </w:rPr>
      </w:pPr>
      <w:r w:rsidRPr="001C4675">
        <w:rPr>
          <w:rFonts w:ascii="Arial" w:eastAsiaTheme="majorEastAsia" w:hAnsi="Arial" w:cs="Arial"/>
          <w:b/>
          <w:bCs/>
          <w:kern w:val="0"/>
          <w14:ligatures w14:val="none"/>
        </w:rPr>
        <w:t>Objective:  </w:t>
      </w:r>
      <w:r w:rsidRPr="001C4675">
        <w:rPr>
          <w:rFonts w:ascii="Arial" w:eastAsiaTheme="majorEastAsia" w:hAnsi="Arial" w:cs="Arial"/>
          <w:kern w:val="0"/>
          <w14:ligatures w14:val="none"/>
        </w:rPr>
        <w:t>Frunevetmab (Solensia®), a feline specific anti-Nerve Growth Factor (NGF) monoclonal antibody, is indicated for the control of feline osteoarthritis (OA) pain</w:t>
      </w:r>
      <w:r w:rsidRPr="001C4675">
        <w:rPr>
          <w:rFonts w:ascii="Arial" w:eastAsiaTheme="majorEastAsia" w:hAnsi="Arial" w:cs="Arial"/>
          <w:b/>
          <w:bCs/>
          <w:kern w:val="0"/>
          <w14:ligatures w14:val="none"/>
        </w:rPr>
        <w:t>. </w:t>
      </w:r>
      <w:r w:rsidRPr="001C4675">
        <w:rPr>
          <w:rFonts w:ascii="Arial" w:eastAsiaTheme="majorEastAsia" w:hAnsi="Arial" w:cs="Arial"/>
          <w:kern w:val="0"/>
          <w14:ligatures w14:val="none"/>
        </w:rPr>
        <w:t xml:space="preserve"> This study was undertaken to evaluate chronic pain in cats receiving frunevetmab or meloxicam (</w:t>
      </w:r>
      <w:proofErr w:type="spellStart"/>
      <w:r w:rsidRPr="001C4675">
        <w:rPr>
          <w:rFonts w:ascii="Arial" w:eastAsia="Times New Roman" w:hAnsi="Arial" w:cs="Arial"/>
          <w:kern w:val="0"/>
          <w:lang w:val="en-GB"/>
          <w14:ligatures w14:val="none"/>
        </w:rPr>
        <w:t>Meloxidyl</w:t>
      </w:r>
      <w:proofErr w:type="spellEnd"/>
      <w:r w:rsidRPr="001C4675">
        <w:rPr>
          <w:rFonts w:ascii="Arial" w:eastAsiaTheme="majorEastAsia" w:hAnsi="Arial" w:cs="Arial"/>
          <w:kern w:val="0"/>
          <w14:ligatures w14:val="none"/>
        </w:rPr>
        <w:t>®) for 56 days using the Feline Musculoskeletal Pain Index-short form (FMPI-sf).</w:t>
      </w:r>
    </w:p>
    <w:p w14:paraId="144E9927" w14:textId="77777777" w:rsidR="001C4675" w:rsidRPr="001C4675" w:rsidRDefault="001C4675" w:rsidP="001C4675">
      <w:pPr>
        <w:spacing w:after="0" w:line="240" w:lineRule="auto"/>
        <w:textAlignment w:val="baseline"/>
        <w:rPr>
          <w:rFonts w:ascii="Arial" w:eastAsiaTheme="majorEastAsia" w:hAnsi="Arial" w:cs="Arial"/>
          <w:b/>
          <w:bCs/>
          <w:kern w:val="0"/>
          <w14:ligatures w14:val="none"/>
        </w:rPr>
      </w:pPr>
    </w:p>
    <w:p w14:paraId="26563B78" w14:textId="77777777" w:rsidR="001C4675" w:rsidRPr="001C4675" w:rsidRDefault="001C4675" w:rsidP="001C4675">
      <w:pPr>
        <w:spacing w:after="0" w:line="240" w:lineRule="auto"/>
        <w:textAlignment w:val="baseline"/>
        <w:rPr>
          <w:rFonts w:ascii="Segoe UI" w:eastAsia="Times New Roman" w:hAnsi="Segoe UI" w:cs="Segoe UI"/>
          <w:kern w:val="0"/>
          <w:sz w:val="18"/>
          <w:szCs w:val="18"/>
          <w14:ligatures w14:val="none"/>
        </w:rPr>
      </w:pPr>
      <w:r w:rsidRPr="001C4675">
        <w:rPr>
          <w:rFonts w:ascii="Arial" w:eastAsiaTheme="majorEastAsia" w:hAnsi="Arial" w:cs="Arial"/>
          <w:b/>
          <w:bCs/>
          <w:kern w:val="0"/>
          <w14:ligatures w14:val="none"/>
        </w:rPr>
        <w:t xml:space="preserve">Study Design:  </w:t>
      </w:r>
      <w:r w:rsidRPr="001C4675">
        <w:rPr>
          <w:rFonts w:ascii="Arial" w:eastAsiaTheme="majorEastAsia" w:hAnsi="Arial" w:cs="Arial"/>
          <w:kern w:val="0"/>
          <w14:ligatures w14:val="none"/>
        </w:rPr>
        <w:t>Owners with cats ≥ 6 years presenting to the clinic for wellness examinations were asked to complete the Feline OA Checklist. The Feline OA Checklist (also known as the Musculoskeletal Pain Screening Checklist) was developed by researchers at North Carolina State Veterinary School in 2019</w:t>
      </w:r>
      <w:r w:rsidRPr="001C4675">
        <w:rPr>
          <w:rFonts w:ascii="Arial" w:eastAsiaTheme="majorEastAsia" w:hAnsi="Arial" w:cs="Arial"/>
          <w:kern w:val="0"/>
          <w:vertAlign w:val="superscript"/>
          <w14:ligatures w14:val="none"/>
        </w:rPr>
        <w:t>1</w:t>
      </w:r>
      <w:r w:rsidRPr="001C4675">
        <w:rPr>
          <w:rFonts w:ascii="Arial" w:eastAsiaTheme="majorEastAsia" w:hAnsi="Arial" w:cs="Arial"/>
          <w:kern w:val="0"/>
          <w14:ligatures w14:val="none"/>
        </w:rPr>
        <w:t>.  Cats were eligible to participate in the study if pet owners selected 1 or more items on the Feline OA checklist and scored ≥ 14 on the FMPI-sf. Cats were determined to have at least moderate OA by radiographic evidence and veterinary orthopedic examination.  Cats were randomized on Day 0 to receive either injectable monthly</w:t>
      </w:r>
      <w:r w:rsidRPr="001C4675">
        <w:rPr>
          <w:rFonts w:ascii="Arial" w:eastAsiaTheme="majorEastAsia" w:hAnsi="Arial" w:cs="Arial"/>
          <w:color w:val="D13438"/>
          <w:kern w:val="0"/>
          <w:u w:val="single"/>
          <w14:ligatures w14:val="none"/>
        </w:rPr>
        <w:t xml:space="preserve"> </w:t>
      </w:r>
      <w:r w:rsidRPr="001C4675">
        <w:rPr>
          <w:rFonts w:ascii="Arial" w:eastAsiaTheme="majorEastAsia" w:hAnsi="Arial" w:cs="Arial"/>
          <w:kern w:val="0"/>
          <w14:ligatures w14:val="none"/>
        </w:rPr>
        <w:t>frunevetmab (labelled dose) or daily oral meloxicam (0.1 mg/kg on Day 0 and 0.05 mg/kg daily thereafter).</w:t>
      </w:r>
      <w:r w:rsidRPr="001C4675">
        <w:rPr>
          <w:rFonts w:ascii="Arial" w:eastAsiaTheme="majorEastAsia" w:hAnsi="Arial" w:cs="Arial"/>
          <w:strike/>
          <w:color w:val="D13438"/>
          <w:kern w:val="0"/>
          <w14:ligatures w14:val="none"/>
        </w:rPr>
        <w:t xml:space="preserve"> </w:t>
      </w:r>
      <w:r w:rsidRPr="001C4675">
        <w:rPr>
          <w:rFonts w:ascii="Arial" w:eastAsiaTheme="majorEastAsia" w:hAnsi="Arial" w:cs="Arial"/>
          <w:kern w:val="0"/>
          <w14:ligatures w14:val="none"/>
        </w:rPr>
        <w:t>Cats were re-evaluated by a veterinarian on Days 28 and 56. Owner assessed treatment success, quality of life (QOL) and treatment satisfaction were evaluated</w:t>
      </w:r>
      <w:r w:rsidRPr="001C4675">
        <w:rPr>
          <w:rFonts w:ascii="Arial" w:eastAsiaTheme="majorEastAsia" w:hAnsi="Arial" w:cs="Arial"/>
          <w:color w:val="D13438"/>
          <w:kern w:val="0"/>
          <w:u w:val="single"/>
          <w14:ligatures w14:val="none"/>
        </w:rPr>
        <w:t xml:space="preserve"> </w:t>
      </w:r>
      <w:r w:rsidRPr="001C4675">
        <w:rPr>
          <w:rFonts w:ascii="Arial" w:eastAsiaTheme="majorEastAsia" w:hAnsi="Arial" w:cs="Arial"/>
          <w:kern w:val="0"/>
          <w14:ligatures w14:val="none"/>
        </w:rPr>
        <w:t>electronically using the FMPI-sf, a feline QOL assessment tool and a treatment satisfaction survey, respectively, on multiple days between Days 0 and 56.  The Investigator assessed feline pain levels with the Veterinary Categorical Assessment on Day 28 and 56. ​ </w:t>
      </w:r>
    </w:p>
    <w:p w14:paraId="55343D50" w14:textId="77777777" w:rsidR="001C4675" w:rsidRPr="001C4675" w:rsidRDefault="001C4675" w:rsidP="001C4675">
      <w:pPr>
        <w:spacing w:after="0" w:line="240" w:lineRule="auto"/>
        <w:textAlignment w:val="baseline"/>
        <w:rPr>
          <w:rFonts w:ascii="Arial" w:eastAsiaTheme="majorEastAsia" w:hAnsi="Arial" w:cs="Arial"/>
          <w:b/>
          <w:bCs/>
          <w:kern w:val="0"/>
          <w14:ligatures w14:val="none"/>
        </w:rPr>
      </w:pPr>
    </w:p>
    <w:p w14:paraId="50211448" w14:textId="77777777" w:rsidR="001C4675" w:rsidRPr="001C4675" w:rsidRDefault="001C4675" w:rsidP="001C4675">
      <w:pPr>
        <w:spacing w:after="0" w:line="240" w:lineRule="auto"/>
        <w:textAlignment w:val="baseline"/>
        <w:rPr>
          <w:rFonts w:ascii="Segoe UI" w:eastAsia="Times New Roman" w:hAnsi="Segoe UI" w:cs="Segoe UI"/>
          <w:kern w:val="0"/>
          <w:sz w:val="18"/>
          <w:szCs w:val="18"/>
          <w14:ligatures w14:val="none"/>
        </w:rPr>
      </w:pPr>
      <w:r w:rsidRPr="001C4675">
        <w:rPr>
          <w:rFonts w:ascii="Arial" w:eastAsiaTheme="majorEastAsia" w:hAnsi="Arial" w:cs="Arial"/>
          <w:b/>
          <w:bCs/>
          <w:kern w:val="0"/>
          <w14:ligatures w14:val="none"/>
        </w:rPr>
        <w:t>Results:</w:t>
      </w:r>
      <w:r w:rsidRPr="001C4675">
        <w:rPr>
          <w:rFonts w:ascii="Arial" w:eastAsiaTheme="majorEastAsia" w:hAnsi="Arial" w:cs="Arial"/>
          <w:kern w:val="0"/>
          <w14:ligatures w14:val="none"/>
        </w:rPr>
        <w:t> This study was run in the European Union. A total of</w:t>
      </w:r>
      <w:r w:rsidRPr="001C4675">
        <w:rPr>
          <w:rFonts w:ascii="Arial" w:eastAsiaTheme="majorEastAsia" w:hAnsi="Arial" w:cs="Arial"/>
          <w:b/>
          <w:bCs/>
          <w:kern w:val="0"/>
          <w14:ligatures w14:val="none"/>
        </w:rPr>
        <w:t xml:space="preserve"> </w:t>
      </w:r>
      <w:r w:rsidRPr="001C4675">
        <w:rPr>
          <w:rFonts w:ascii="Arial" w:eastAsiaTheme="majorEastAsia" w:hAnsi="Arial" w:cs="Arial"/>
          <w:kern w:val="0"/>
          <w14:ligatures w14:val="none"/>
        </w:rPr>
        <w:t>105 cats were screened with 99 cats completing the study (51 spayed females, 1 intact female, 50 castrated males, 3 intact males).  Most were European shorthair; 21 were purebreds (Persian, Scottish fold, British Shorthair, Exotic and Himalayan). Median (range) of cat’s age and body weights were 11.0 years (6-18) and 4.5 kgs (2.5-8.7 kgs), respectively. Fifty cats received frunevetmab while 49 cats received meloxicam.   </w:t>
      </w:r>
    </w:p>
    <w:p w14:paraId="2013EF6A" w14:textId="77777777" w:rsidR="001C4675" w:rsidRPr="001C4675" w:rsidRDefault="001C4675" w:rsidP="001C4675">
      <w:pPr>
        <w:spacing w:after="0" w:line="240" w:lineRule="auto"/>
        <w:textAlignment w:val="baseline"/>
        <w:rPr>
          <w:rFonts w:ascii="Segoe UI" w:eastAsia="Times New Roman" w:hAnsi="Segoe UI" w:cs="Segoe UI"/>
          <w:kern w:val="0"/>
          <w:sz w:val="18"/>
          <w:szCs w:val="18"/>
          <w14:ligatures w14:val="none"/>
        </w:rPr>
      </w:pPr>
      <w:r w:rsidRPr="001C4675">
        <w:rPr>
          <w:rFonts w:ascii="Arial" w:eastAsiaTheme="majorEastAsia" w:hAnsi="Arial" w:cs="Arial"/>
          <w:kern w:val="0"/>
          <w14:ligatures w14:val="none"/>
        </w:rPr>
        <w:t>Forty-six cats (92%;46/50) treated with frunevetmab demonstrated ≥ 5-point improvement in FMPI-sf scores on Day 28 compared to 38 cats (78%;38/49) receiving meloxicam (P=0.06).  At Day 28 and 56, the frunevetmab group demonstrated a 66% and 72% decrease from FMPI-sf Day 0 scores while the meloxicam group was 54% and 68%.   By Day 56, 78% (49/50) of frunevetmab treated cats had a 50% reduction in their FPMI-sf score as compared to 69% (34/49) in the meloxicam treated group.   </w:t>
      </w:r>
    </w:p>
    <w:p w14:paraId="37D48682" w14:textId="3589BFB8" w:rsidR="001C4675" w:rsidRPr="001C4675" w:rsidRDefault="001C4675" w:rsidP="001C4675">
      <w:pPr>
        <w:spacing w:after="0" w:line="240" w:lineRule="auto"/>
        <w:textAlignment w:val="baseline"/>
        <w:rPr>
          <w:rFonts w:ascii="Segoe UI" w:eastAsia="Times New Roman" w:hAnsi="Segoe UI" w:cs="Segoe UI"/>
          <w:kern w:val="0"/>
          <w:sz w:val="18"/>
          <w:szCs w:val="18"/>
          <w14:ligatures w14:val="none"/>
        </w:rPr>
      </w:pPr>
      <w:r w:rsidRPr="001C4675">
        <w:rPr>
          <w:rFonts w:ascii="Arial" w:eastAsiaTheme="majorEastAsia" w:hAnsi="Arial" w:cs="Arial"/>
          <w:kern w:val="0"/>
          <w14:ligatures w14:val="none"/>
        </w:rPr>
        <w:t>In the frunevetmab group, 4 cats (8%;4/50) experienced the minor adverse event (AE) of vocalizing at the time of one injection and did not require treatment.  In the meloxicam group, 9 cats (18%;9/49</w:t>
      </w:r>
      <w:r>
        <w:rPr>
          <w:rFonts w:ascii="Arial" w:eastAsiaTheme="majorEastAsia" w:hAnsi="Arial" w:cs="Arial"/>
          <w:kern w:val="0"/>
          <w14:ligatures w14:val="none"/>
        </w:rPr>
        <w:t>,</w:t>
      </w:r>
      <w:r w:rsidRPr="001C4675">
        <w:rPr>
          <w:rStyle w:val="normaltextrun"/>
          <w:rFonts w:ascii="Arial" w:eastAsiaTheme="majorEastAsia" w:hAnsi="Arial" w:cs="Arial"/>
        </w:rPr>
        <w:t xml:space="preserve"> </w:t>
      </w:r>
      <w:r>
        <w:rPr>
          <w:rStyle w:val="normaltextrun"/>
          <w:rFonts w:ascii="Arial" w:eastAsiaTheme="majorEastAsia" w:hAnsi="Arial" w:cs="Arial"/>
        </w:rPr>
        <w:t>5 serious, 4 minor)</w:t>
      </w:r>
      <w:r w:rsidRPr="001C4675">
        <w:rPr>
          <w:rFonts w:ascii="Arial" w:eastAsiaTheme="majorEastAsia" w:hAnsi="Arial" w:cs="Arial"/>
          <w:kern w:val="0"/>
          <w14:ligatures w14:val="none"/>
        </w:rPr>
        <w:t xml:space="preserve"> developed AEs with 6 (12%;6/49</w:t>
      </w:r>
      <w:r>
        <w:rPr>
          <w:rFonts w:ascii="Arial" w:eastAsiaTheme="majorEastAsia" w:hAnsi="Arial" w:cs="Arial"/>
          <w:kern w:val="0"/>
          <w14:ligatures w14:val="none"/>
        </w:rPr>
        <w:t xml:space="preserve">, </w:t>
      </w:r>
      <w:r>
        <w:rPr>
          <w:rStyle w:val="normaltextrun"/>
          <w:rFonts w:ascii="Arial" w:eastAsiaTheme="majorEastAsia" w:hAnsi="Arial" w:cs="Arial"/>
        </w:rPr>
        <w:t>3 minor, 3 serious</w:t>
      </w:r>
      <w:r w:rsidRPr="001C4675">
        <w:rPr>
          <w:rFonts w:ascii="Arial" w:eastAsiaTheme="majorEastAsia" w:hAnsi="Arial" w:cs="Arial"/>
          <w:kern w:val="0"/>
          <w14:ligatures w14:val="none"/>
        </w:rPr>
        <w:t xml:space="preserve">) developing gastritis which investigators felt was related to meloxicam administration. </w:t>
      </w:r>
      <w:r w:rsidR="00952D64">
        <w:rPr>
          <w:rFonts w:ascii="Arial" w:eastAsiaTheme="majorEastAsia" w:hAnsi="Arial" w:cs="Arial"/>
          <w:kern w:val="0"/>
          <w14:ligatures w14:val="none"/>
        </w:rPr>
        <w:t>Of</w:t>
      </w:r>
      <w:r w:rsidRPr="001C4675">
        <w:rPr>
          <w:rFonts w:ascii="Arial" w:eastAsiaTheme="majorEastAsia" w:hAnsi="Arial" w:cs="Arial"/>
          <w:kern w:val="0"/>
          <w14:ligatures w14:val="none"/>
        </w:rPr>
        <w:t xml:space="preserve"> these 6 cats, 3 developed vomiting and anorexia which responded to treatment, however 3 developed severe gastric signs which required hospitalization and study withdrawal. One cat developed gastric ulceration, anemia, thrombocytopenia and anorexia requiring 2 blood transfusions with the other 2 cats developing anorexia, dehydration, depression and weight loss. The 3 remaining cats developed AE’s which </w:t>
      </w:r>
      <w:r w:rsidRPr="001C4675">
        <w:rPr>
          <w:rFonts w:ascii="Arial" w:eastAsiaTheme="majorEastAsia" w:hAnsi="Arial" w:cs="Arial"/>
          <w:kern w:val="0"/>
          <w14:ligatures w14:val="none"/>
        </w:rPr>
        <w:lastRenderedPageBreak/>
        <w:t>investigators did not determine to be related to meloxicam administration: cranial cruciate ligament rupture, pyothorax and ear infection.  Overall, no cats in the frunevetmab group and 5 cats in the meloxicam group were removed from the study due to AEs.   </w:t>
      </w:r>
    </w:p>
    <w:p w14:paraId="6F38EA43" w14:textId="45B57378" w:rsidR="001C4675" w:rsidRPr="001C4675" w:rsidRDefault="001C4675" w:rsidP="001C4675">
      <w:pPr>
        <w:spacing w:after="0" w:line="240" w:lineRule="auto"/>
        <w:textAlignment w:val="baseline"/>
        <w:rPr>
          <w:rFonts w:ascii="Segoe UI" w:eastAsia="Times New Roman" w:hAnsi="Segoe UI" w:cs="Segoe UI"/>
          <w:kern w:val="0"/>
          <w:sz w:val="18"/>
          <w:szCs w:val="18"/>
          <w14:ligatures w14:val="none"/>
        </w:rPr>
      </w:pPr>
      <w:r w:rsidRPr="001C4675">
        <w:rPr>
          <w:rFonts w:ascii="Arial" w:eastAsiaTheme="majorEastAsia" w:hAnsi="Arial" w:cs="Arial"/>
          <w:kern w:val="0"/>
          <w14:ligatures w14:val="none"/>
        </w:rPr>
        <w:t xml:space="preserve">​On Day 0, </w:t>
      </w:r>
      <w:r>
        <w:rPr>
          <w:rFonts w:ascii="Arial" w:eastAsiaTheme="majorEastAsia" w:hAnsi="Arial" w:cs="Arial"/>
          <w:kern w:val="0"/>
          <w14:ligatures w14:val="none"/>
        </w:rPr>
        <w:t>71</w:t>
      </w:r>
      <w:r w:rsidRPr="001C4675">
        <w:rPr>
          <w:rFonts w:ascii="Arial" w:eastAsiaTheme="majorEastAsia" w:hAnsi="Arial" w:cs="Arial"/>
          <w:kern w:val="0"/>
          <w14:ligatures w14:val="none"/>
        </w:rPr>
        <w:t xml:space="preserve">% of all feline owners reported their cat’s QOL as poor or acceptable and a similar distribution of QOL scores was seen in both treatment groups.  By Day 56, there was a higher distribution of cats receiving frunevetmab with good or very good QOL scores (P=0.0014) when compared to cats receiving meloxicam. (Figure 1).  Pet owner satisfaction on Day 56 showed 92% of owners were satisfied with monthly treatment compared to 60% of pet owners having to administer daily treatment.  Pet owners noted at least 1 or more improvements in their cat’s appetite, willingness to interact with others, reduction in hiding behaviors and improvement in overall demeanor in 100% of the frunevetmab treated cats compared to 86% of the meloxicam treated cats. </w:t>
      </w:r>
      <w:bookmarkStart w:id="0" w:name="_Hlk212631752"/>
      <w:r w:rsidRPr="001C4675">
        <w:rPr>
          <w:rFonts w:ascii="Arial" w:eastAsiaTheme="majorEastAsia" w:hAnsi="Arial" w:cs="Arial"/>
          <w:kern w:val="0"/>
          <w14:ligatures w14:val="none"/>
        </w:rPr>
        <w:t>All pet owners (100%) of cats receiving frunevetmab were satisfied or very satisfied with their cat’s treatment compared to 71% of cats receiving meloxicam. </w:t>
      </w:r>
    </w:p>
    <w:bookmarkEnd w:id="0"/>
    <w:p w14:paraId="757FFFA7" w14:textId="77777777" w:rsidR="001C4675" w:rsidRPr="001C4675" w:rsidRDefault="001C4675" w:rsidP="001C4675">
      <w:pPr>
        <w:spacing w:after="0" w:line="240" w:lineRule="auto"/>
        <w:textAlignment w:val="baseline"/>
        <w:rPr>
          <w:rFonts w:ascii="Arial" w:eastAsiaTheme="majorEastAsia" w:hAnsi="Arial" w:cs="Arial"/>
          <w:b/>
          <w:bCs/>
          <w:kern w:val="0"/>
          <w14:ligatures w14:val="none"/>
        </w:rPr>
      </w:pPr>
    </w:p>
    <w:p w14:paraId="4A7F987D" w14:textId="77777777" w:rsidR="001C4675" w:rsidRPr="001C4675" w:rsidRDefault="001C4675" w:rsidP="001C4675">
      <w:pPr>
        <w:spacing w:after="0" w:line="240" w:lineRule="auto"/>
        <w:textAlignment w:val="baseline"/>
        <w:rPr>
          <w:rFonts w:ascii="Arial" w:eastAsiaTheme="majorEastAsia" w:hAnsi="Arial" w:cs="Arial"/>
          <w:kern w:val="0"/>
          <w14:ligatures w14:val="none"/>
        </w:rPr>
      </w:pPr>
      <w:r w:rsidRPr="001C4675">
        <w:rPr>
          <w:rFonts w:ascii="Arial" w:eastAsiaTheme="majorEastAsia" w:hAnsi="Arial" w:cs="Arial"/>
          <w:b/>
          <w:bCs/>
          <w:kern w:val="0"/>
          <w14:ligatures w14:val="none"/>
        </w:rPr>
        <w:t>Conclusion:</w:t>
      </w:r>
      <w:r w:rsidRPr="001C4675">
        <w:rPr>
          <w:rFonts w:ascii="Arial" w:eastAsiaTheme="majorEastAsia" w:hAnsi="Arial" w:cs="Arial"/>
          <w:kern w:val="0"/>
          <w14:ligatures w14:val="none"/>
        </w:rPr>
        <w:t xml:space="preserve">  On Day 56, a higher distribution of cats receiving frunevetmab had good or very good QOL scores when compared to cats receiving meloxicam. Overall, frunevetmab treated cats demonstrated a greater reduction in the FMPI-sf and fewer adverse events when compared to Meloxicam treated cats.  More pet owners were satisfied or very satisfied with frunevetmab treatment for their cat and recognized improvement in their cat’s quality of life when compared to pet owners whose cat received meloxicam. It is important to note that most owners reported improvement in overall demeanor and increased interactions with their cats with these treatment options and </w:t>
      </w:r>
      <w:proofErr w:type="gramStart"/>
      <w:r w:rsidRPr="001C4675">
        <w:rPr>
          <w:rFonts w:ascii="Arial" w:eastAsiaTheme="majorEastAsia" w:hAnsi="Arial" w:cs="Arial"/>
          <w:kern w:val="0"/>
          <w14:ligatures w14:val="none"/>
        </w:rPr>
        <w:t>the majority of</w:t>
      </w:r>
      <w:proofErr w:type="gramEnd"/>
      <w:r w:rsidRPr="001C4675">
        <w:rPr>
          <w:rFonts w:ascii="Arial" w:eastAsiaTheme="majorEastAsia" w:hAnsi="Arial" w:cs="Arial"/>
          <w:kern w:val="0"/>
          <w14:ligatures w14:val="none"/>
        </w:rPr>
        <w:t xml:space="preserve"> cats in this study benefited from OA treatment. </w:t>
      </w:r>
    </w:p>
    <w:p w14:paraId="1C09BFC4" w14:textId="77777777" w:rsidR="001C4675" w:rsidRDefault="001C4675" w:rsidP="001C4675">
      <w:pPr>
        <w:spacing w:after="0" w:line="240" w:lineRule="auto"/>
        <w:textAlignment w:val="baseline"/>
        <w:rPr>
          <w:rFonts w:ascii="Segoe UI" w:eastAsia="Times New Roman" w:hAnsi="Segoe UI" w:cs="Segoe UI"/>
          <w:kern w:val="0"/>
          <w14:ligatures w14:val="none"/>
        </w:rPr>
      </w:pPr>
    </w:p>
    <w:p w14:paraId="0AD4835F" w14:textId="5802E003" w:rsidR="001C4675" w:rsidRPr="001C4675" w:rsidRDefault="001C4675" w:rsidP="001C4675">
      <w:pPr>
        <w:spacing w:line="259" w:lineRule="auto"/>
        <w:rPr>
          <w:rFonts w:ascii="Arial" w:hAnsi="Arial" w:cs="Arial"/>
        </w:rPr>
      </w:pPr>
      <w:r w:rsidRPr="001C4675">
        <w:rPr>
          <w:rFonts w:ascii="Arial" w:hAnsi="Arial" w:cs="Arial"/>
          <w:b/>
          <w:bCs/>
        </w:rPr>
        <w:t xml:space="preserve">Acknowledgements: </w:t>
      </w:r>
      <w:r w:rsidRPr="001C4675">
        <w:rPr>
          <w:rFonts w:ascii="Arial" w:hAnsi="Arial" w:cs="Arial"/>
        </w:rPr>
        <w:t>This study was funded by Zoetis.</w:t>
      </w:r>
    </w:p>
    <w:p w14:paraId="75C33A8C" w14:textId="77777777" w:rsidR="001C4675" w:rsidRPr="001C4675" w:rsidRDefault="001C4675" w:rsidP="001C4675">
      <w:pPr>
        <w:spacing w:line="259" w:lineRule="auto"/>
        <w:rPr>
          <w:rFonts w:ascii="Arial" w:hAnsi="Arial" w:cs="Arial"/>
        </w:rPr>
      </w:pPr>
      <w:r w:rsidRPr="001C4675">
        <w:rPr>
          <w:rFonts w:ascii="Arial" w:hAnsi="Arial" w:cs="Arial"/>
        </w:rPr>
        <w:t>References:</w:t>
      </w:r>
    </w:p>
    <w:p w14:paraId="4152F47E" w14:textId="30E3A3C1" w:rsidR="00BF5BD7" w:rsidRPr="001C4675" w:rsidRDefault="001C4675" w:rsidP="001C4675">
      <w:pPr>
        <w:numPr>
          <w:ilvl w:val="0"/>
          <w:numId w:val="1"/>
        </w:numPr>
        <w:spacing w:line="259" w:lineRule="auto"/>
        <w:contextualSpacing/>
        <w:rPr>
          <w:rFonts w:ascii="Arial" w:hAnsi="Arial" w:cs="Arial"/>
        </w:rPr>
      </w:pPr>
      <w:r w:rsidRPr="001C4675">
        <w:rPr>
          <w:rFonts w:ascii="Arial" w:eastAsia="Cambria" w:hAnsi="Arial" w:cs="Arial"/>
          <w:kern w:val="0"/>
          <w14:ligatures w14:val="none"/>
        </w:rPr>
        <w:t xml:space="preserve">Enomoto M, Lascelles BDX, Gruen ME. </w:t>
      </w:r>
      <w:r w:rsidRPr="001C4675">
        <w:rPr>
          <w:rFonts w:ascii="Arial" w:eastAsia="Cambria" w:hAnsi="Arial" w:cs="Arial"/>
          <w:b/>
          <w:bCs/>
          <w:kern w:val="0"/>
          <w14:ligatures w14:val="none"/>
        </w:rPr>
        <w:t>Development of a checklist for the detection of degenerative joint disease-associated pain in cats.</w:t>
      </w:r>
      <w:r w:rsidRPr="001C4675">
        <w:rPr>
          <w:rFonts w:ascii="Arial" w:eastAsia="Cambria" w:hAnsi="Arial" w:cs="Arial"/>
          <w:kern w:val="0"/>
          <w14:ligatures w14:val="none"/>
        </w:rPr>
        <w:t> </w:t>
      </w:r>
      <w:r w:rsidRPr="001C4675">
        <w:rPr>
          <w:rFonts w:ascii="Arial" w:eastAsia="Cambria" w:hAnsi="Arial" w:cs="Arial"/>
          <w:i/>
          <w:iCs/>
          <w:kern w:val="0"/>
          <w14:ligatures w14:val="none"/>
        </w:rPr>
        <w:t>J Feline Med Surg</w:t>
      </w:r>
      <w:r w:rsidRPr="001C4675">
        <w:rPr>
          <w:rFonts w:ascii="Arial" w:eastAsia="Cambria" w:hAnsi="Arial" w:cs="Arial"/>
          <w:kern w:val="0"/>
          <w14:ligatures w14:val="none"/>
        </w:rPr>
        <w:t>. 2020;22(12):1137-1147. doi:10.1177/1098612X20907424</w:t>
      </w:r>
    </w:p>
    <w:sectPr w:rsidR="00BF5BD7" w:rsidRPr="001C4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0490"/>
    <w:multiLevelType w:val="hybridMultilevel"/>
    <w:tmpl w:val="7AF21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75"/>
    <w:rsid w:val="000E5EEA"/>
    <w:rsid w:val="00103C2C"/>
    <w:rsid w:val="00194B49"/>
    <w:rsid w:val="001C4675"/>
    <w:rsid w:val="001E5665"/>
    <w:rsid w:val="002D68D2"/>
    <w:rsid w:val="003F40E6"/>
    <w:rsid w:val="003F7853"/>
    <w:rsid w:val="004C48A0"/>
    <w:rsid w:val="00557621"/>
    <w:rsid w:val="006A37DD"/>
    <w:rsid w:val="00952D64"/>
    <w:rsid w:val="00B40DC9"/>
    <w:rsid w:val="00BC3110"/>
    <w:rsid w:val="00BF5BD7"/>
    <w:rsid w:val="00CA5384"/>
    <w:rsid w:val="00D37198"/>
    <w:rsid w:val="00DF12A5"/>
    <w:rsid w:val="00E9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5D26"/>
  <w15:chartTrackingRefBased/>
  <w15:docId w15:val="{3E252395-22A4-446C-85B8-9E482550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4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675"/>
    <w:rPr>
      <w:rFonts w:eastAsiaTheme="majorEastAsia" w:cstheme="majorBidi"/>
      <w:color w:val="272727" w:themeColor="text1" w:themeTint="D8"/>
    </w:rPr>
  </w:style>
  <w:style w:type="paragraph" w:styleId="Title">
    <w:name w:val="Title"/>
    <w:basedOn w:val="Normal"/>
    <w:next w:val="Normal"/>
    <w:link w:val="TitleChar"/>
    <w:uiPriority w:val="10"/>
    <w:qFormat/>
    <w:rsid w:val="001C4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675"/>
    <w:pPr>
      <w:spacing w:before="160"/>
      <w:jc w:val="center"/>
    </w:pPr>
    <w:rPr>
      <w:i/>
      <w:iCs/>
      <w:color w:val="404040" w:themeColor="text1" w:themeTint="BF"/>
    </w:rPr>
  </w:style>
  <w:style w:type="character" w:customStyle="1" w:styleId="QuoteChar">
    <w:name w:val="Quote Char"/>
    <w:basedOn w:val="DefaultParagraphFont"/>
    <w:link w:val="Quote"/>
    <w:uiPriority w:val="29"/>
    <w:rsid w:val="001C4675"/>
    <w:rPr>
      <w:i/>
      <w:iCs/>
      <w:color w:val="404040" w:themeColor="text1" w:themeTint="BF"/>
    </w:rPr>
  </w:style>
  <w:style w:type="paragraph" w:styleId="ListParagraph">
    <w:name w:val="List Paragraph"/>
    <w:basedOn w:val="Normal"/>
    <w:uiPriority w:val="34"/>
    <w:qFormat/>
    <w:rsid w:val="001C4675"/>
    <w:pPr>
      <w:ind w:left="720"/>
      <w:contextualSpacing/>
    </w:pPr>
  </w:style>
  <w:style w:type="character" w:styleId="IntenseEmphasis">
    <w:name w:val="Intense Emphasis"/>
    <w:basedOn w:val="DefaultParagraphFont"/>
    <w:uiPriority w:val="21"/>
    <w:qFormat/>
    <w:rsid w:val="001C4675"/>
    <w:rPr>
      <w:i/>
      <w:iCs/>
      <w:color w:val="0F4761" w:themeColor="accent1" w:themeShade="BF"/>
    </w:rPr>
  </w:style>
  <w:style w:type="paragraph" w:styleId="IntenseQuote">
    <w:name w:val="Intense Quote"/>
    <w:basedOn w:val="Normal"/>
    <w:next w:val="Normal"/>
    <w:link w:val="IntenseQuoteChar"/>
    <w:uiPriority w:val="30"/>
    <w:qFormat/>
    <w:rsid w:val="001C4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675"/>
    <w:rPr>
      <w:i/>
      <w:iCs/>
      <w:color w:val="0F4761" w:themeColor="accent1" w:themeShade="BF"/>
    </w:rPr>
  </w:style>
  <w:style w:type="character" w:styleId="IntenseReference">
    <w:name w:val="Intense Reference"/>
    <w:basedOn w:val="DefaultParagraphFont"/>
    <w:uiPriority w:val="32"/>
    <w:qFormat/>
    <w:rsid w:val="001C4675"/>
    <w:rPr>
      <w:b/>
      <w:bCs/>
      <w:smallCaps/>
      <w:color w:val="0F4761" w:themeColor="accent1" w:themeShade="BF"/>
      <w:spacing w:val="5"/>
    </w:rPr>
  </w:style>
  <w:style w:type="character" w:customStyle="1" w:styleId="normaltextrun">
    <w:name w:val="normaltextrun"/>
    <w:basedOn w:val="DefaultParagraphFont"/>
    <w:rsid w:val="001C4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885</Words>
  <Characters>4659</Characters>
  <Application>Microsoft Office Word</Application>
  <DocSecurity>0</DocSecurity>
  <Lines>221</Lines>
  <Paragraphs>125</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Gober, Margaret VMD</dc:creator>
  <cp:keywords/>
  <dc:description/>
  <cp:lastModifiedBy>Gober, Margaret VMD</cp:lastModifiedBy>
  <cp:revision>2</cp:revision>
  <dcterms:created xsi:type="dcterms:W3CDTF">2025-11-01T21:20:00Z</dcterms:created>
  <dcterms:modified xsi:type="dcterms:W3CDTF">2025-11-01T21:20:00Z</dcterms:modified>
</cp:coreProperties>
</file>