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05B75" w14:textId="77777777" w:rsidR="008707EE" w:rsidRDefault="008707EE" w:rsidP="00A54E1F">
      <w:pPr>
        <w:spacing w:after="0" w:line="240" w:lineRule="auto"/>
        <w:rPr>
          <w:rFonts w:ascii="Arial" w:eastAsia="Times New Roman" w:hAnsi="Arial" w:cs="Arial"/>
          <w:b/>
          <w:bCs/>
          <w:color w:val="000000"/>
          <w:sz w:val="24"/>
          <w:szCs w:val="24"/>
        </w:rPr>
      </w:pPr>
      <w:r w:rsidRPr="00EC008A">
        <w:rPr>
          <w:rFonts w:ascii="Arial" w:eastAsia="Times New Roman" w:hAnsi="Arial" w:cs="Arial"/>
          <w:b/>
          <w:bCs/>
          <w:color w:val="000000"/>
          <w:sz w:val="24"/>
          <w:szCs w:val="24"/>
        </w:rPr>
        <w:t xml:space="preserve">Use of Cross Pins for Canine Distal Femoral Physeal Fractures Abstract </w:t>
      </w:r>
    </w:p>
    <w:p w14:paraId="59798FB1" w14:textId="0E8E9D03" w:rsidR="008707EE" w:rsidRPr="00F75C55" w:rsidRDefault="008707EE" w:rsidP="00A54E1F">
      <w:pPr>
        <w:spacing w:after="0" w:line="240" w:lineRule="auto"/>
        <w:rPr>
          <w:rFonts w:ascii="Arial" w:eastAsia="Times New Roman" w:hAnsi="Arial" w:cs="Arial"/>
          <w:color w:val="000000"/>
          <w:sz w:val="24"/>
          <w:szCs w:val="24"/>
        </w:rPr>
      </w:pPr>
    </w:p>
    <w:p w14:paraId="3D30407E" w14:textId="77777777" w:rsidR="007955E0" w:rsidRDefault="008D7AA4" w:rsidP="008D7AA4">
      <w:pPr>
        <w:pStyle w:val="paragraph"/>
        <w:spacing w:before="0" w:beforeAutospacing="0" w:after="0" w:afterAutospacing="0"/>
        <w:textAlignment w:val="baseline"/>
        <w:rPr>
          <w:rStyle w:val="normaltextrun"/>
          <w:rFonts w:ascii="Arial" w:hAnsi="Arial" w:cs="Arial"/>
          <w:b/>
          <w:bCs/>
        </w:rPr>
      </w:pPr>
      <w:r>
        <w:rPr>
          <w:rStyle w:val="normaltextrun"/>
          <w:rFonts w:ascii="Arial" w:hAnsi="Arial" w:cs="Arial"/>
          <w:b/>
          <w:bCs/>
        </w:rPr>
        <w:t xml:space="preserve">Objective: </w:t>
      </w:r>
    </w:p>
    <w:p w14:paraId="31FB3173" w14:textId="6D85B2FB" w:rsidR="008D7AA4" w:rsidRDefault="008D7AA4" w:rsidP="008D7AA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333333"/>
        </w:rPr>
        <w:t xml:space="preserve">Distal femoral physeal fractures (DFPF) are the most common epiphyseal fracture type in dogs, accounting for 60% of all distal femoral fractures (1, 2). </w:t>
      </w:r>
      <w:r>
        <w:rPr>
          <w:rStyle w:val="normaltextrun"/>
          <w:rFonts w:ascii="Arial" w:hAnsi="Arial" w:cs="Arial"/>
          <w:color w:val="32363A"/>
          <w:shd w:val="clear" w:color="auto" w:fill="FFFFFF"/>
        </w:rPr>
        <w:t xml:space="preserve">This study aims to evaluate outcomes of dogs that have undergone cross pin repair of a </w:t>
      </w:r>
      <w:r>
        <w:rPr>
          <w:rStyle w:val="normaltextrun"/>
          <w:rFonts w:ascii="Arial" w:hAnsi="Arial" w:cs="Arial"/>
          <w:color w:val="32363A"/>
          <w:shd w:val="clear" w:color="auto" w:fill="FFFFFF"/>
        </w:rPr>
        <w:t>DFPF</w:t>
      </w:r>
      <w:r>
        <w:rPr>
          <w:rStyle w:val="normaltextrun"/>
          <w:rFonts w:ascii="Arial" w:hAnsi="Arial" w:cs="Arial"/>
          <w:color w:val="32363A"/>
          <w:shd w:val="clear" w:color="auto" w:fill="FFFFFF"/>
        </w:rPr>
        <w:t xml:space="preserve">, hypothesizing that cross pin fixation results in excellent functional outcomes. </w:t>
      </w:r>
      <w:r>
        <w:rPr>
          <w:rStyle w:val="normaltextrun"/>
          <w:rFonts w:ascii="Arial" w:hAnsi="Arial" w:cs="Arial"/>
          <w:color w:val="D13438"/>
        </w:rPr>
        <w:t> </w:t>
      </w:r>
      <w:r>
        <w:rPr>
          <w:rStyle w:val="eop"/>
          <w:rFonts w:ascii="Arial" w:hAnsi="Arial" w:cs="Arial"/>
          <w:color w:val="D13438"/>
        </w:rPr>
        <w:t> </w:t>
      </w:r>
    </w:p>
    <w:p w14:paraId="0CA4DEE0" w14:textId="77777777" w:rsidR="008D7AA4" w:rsidRDefault="008D7AA4" w:rsidP="008D7AA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6F6AC147" w14:textId="77777777" w:rsidR="007955E0" w:rsidRDefault="008D7AA4" w:rsidP="008D7AA4">
      <w:pPr>
        <w:pStyle w:val="paragraph"/>
        <w:spacing w:before="0" w:beforeAutospacing="0" w:after="0" w:afterAutospacing="0"/>
        <w:textAlignment w:val="baseline"/>
        <w:rPr>
          <w:rStyle w:val="normaltextrun"/>
          <w:rFonts w:ascii="Arial" w:hAnsi="Arial" w:cs="Arial"/>
        </w:rPr>
      </w:pPr>
      <w:r>
        <w:rPr>
          <w:rStyle w:val="normaltextrun"/>
          <w:rFonts w:ascii="Arial" w:hAnsi="Arial" w:cs="Arial"/>
          <w:b/>
          <w:bCs/>
        </w:rPr>
        <w:t>Study Design: </w:t>
      </w:r>
      <w:r>
        <w:rPr>
          <w:rStyle w:val="normaltextrun"/>
          <w:rFonts w:ascii="Arial" w:hAnsi="Arial" w:cs="Arial"/>
        </w:rPr>
        <w:t> </w:t>
      </w:r>
    </w:p>
    <w:p w14:paraId="2C06DF8A" w14:textId="21C47FEC" w:rsidR="008D7AA4" w:rsidRDefault="008D7AA4" w:rsidP="008D7AA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333333"/>
        </w:rPr>
        <w:t xml:space="preserve">Medical records of dogs that underwent </w:t>
      </w:r>
      <w:r>
        <w:rPr>
          <w:rStyle w:val="normaltextrun"/>
          <w:rFonts w:ascii="Arial" w:hAnsi="Arial" w:cs="Arial"/>
          <w:color w:val="333333"/>
        </w:rPr>
        <w:t>DFPF</w:t>
      </w:r>
      <w:r>
        <w:rPr>
          <w:rStyle w:val="normaltextrun"/>
          <w:rFonts w:ascii="Arial" w:hAnsi="Arial" w:cs="Arial"/>
          <w:color w:val="333333"/>
        </w:rPr>
        <w:t xml:space="preserve"> repair using cross pins between 2008-2025 from XXXX and XXXX were reviewed. Patients with no follow-up were excluded.</w:t>
      </w:r>
      <w:r>
        <w:rPr>
          <w:rStyle w:val="normaltextrun"/>
          <w:rFonts w:ascii="Segoe UI" w:hAnsi="Segoe UI" w:cs="Segoe UI"/>
          <w:sz w:val="18"/>
          <w:szCs w:val="18"/>
        </w:rPr>
        <w:t xml:space="preserve"> </w:t>
      </w:r>
      <w:r>
        <w:rPr>
          <w:rStyle w:val="normaltextrun"/>
          <w:rFonts w:ascii="Arial" w:hAnsi="Arial" w:cs="Arial"/>
          <w:color w:val="333333"/>
        </w:rPr>
        <w:t>Data including signalment, physical examination findings, pre- and postoperative radiographs, anesthesia and surgical times, complications and implant details, functional outcomes (excellent, fair, poor, unacceptable) and presence of pain at last recheck were acquired from the medical records. Measurements taken from radiographs included mechanical Latero-Distal Femoral Angle (</w:t>
      </w:r>
      <w:proofErr w:type="spellStart"/>
      <w:r>
        <w:rPr>
          <w:rStyle w:val="normaltextrun"/>
          <w:rFonts w:ascii="Arial" w:hAnsi="Arial" w:cs="Arial"/>
          <w:color w:val="333333"/>
        </w:rPr>
        <w:t>mLDFA</w:t>
      </w:r>
      <w:proofErr w:type="spellEnd"/>
      <w:r>
        <w:rPr>
          <w:rStyle w:val="normaltextrun"/>
          <w:rFonts w:ascii="Arial" w:hAnsi="Arial" w:cs="Arial"/>
          <w:color w:val="333333"/>
        </w:rPr>
        <w:t>), mechanical Caudo-Distal Femoral Angle (</w:t>
      </w:r>
      <w:proofErr w:type="spellStart"/>
      <w:r>
        <w:rPr>
          <w:rStyle w:val="normaltextrun"/>
          <w:rFonts w:ascii="Arial" w:hAnsi="Arial" w:cs="Arial"/>
          <w:color w:val="333333"/>
        </w:rPr>
        <w:t>mCdDFA</w:t>
      </w:r>
      <w:proofErr w:type="spellEnd"/>
      <w:r>
        <w:rPr>
          <w:rStyle w:val="normaltextrun"/>
          <w:rFonts w:ascii="Arial" w:hAnsi="Arial" w:cs="Arial"/>
          <w:color w:val="333333"/>
        </w:rPr>
        <w:t>), presence of a step defect, and length of the postoperative and contralateral femurs for comparison. </w:t>
      </w:r>
      <w:r>
        <w:rPr>
          <w:rStyle w:val="eop"/>
          <w:rFonts w:ascii="Arial" w:hAnsi="Arial" w:cs="Arial"/>
          <w:color w:val="333333"/>
        </w:rPr>
        <w:t> </w:t>
      </w:r>
    </w:p>
    <w:p w14:paraId="1EBA7266" w14:textId="77777777" w:rsidR="008D7AA4" w:rsidRDefault="008D7AA4" w:rsidP="008D7AA4">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71C36E8C" w14:textId="77777777" w:rsidR="008D7AA4" w:rsidRDefault="008D7AA4" w:rsidP="008D7AA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Results:</w:t>
      </w:r>
      <w:r>
        <w:rPr>
          <w:rStyle w:val="normaltextrun"/>
          <w:rFonts w:ascii="Arial" w:hAnsi="Arial" w:cs="Arial"/>
        </w:rPr>
        <w:t>  </w:t>
      </w:r>
      <w:r>
        <w:rPr>
          <w:rStyle w:val="eop"/>
          <w:rFonts w:ascii="Arial" w:hAnsi="Arial" w:cs="Arial"/>
        </w:rPr>
        <w:t> </w:t>
      </w:r>
    </w:p>
    <w:p w14:paraId="7174D33D" w14:textId="4ACE7588" w:rsidR="008D7AA4" w:rsidRDefault="008D7AA4" w:rsidP="008D7AA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Fifty-two dogs with </w:t>
      </w:r>
      <w:r>
        <w:rPr>
          <w:rStyle w:val="normaltextrun"/>
          <w:rFonts w:ascii="Arial" w:hAnsi="Arial" w:cs="Arial"/>
        </w:rPr>
        <w:t>DFPF</w:t>
      </w:r>
      <w:r>
        <w:rPr>
          <w:rStyle w:val="normaltextrun"/>
          <w:rFonts w:ascii="Arial" w:hAnsi="Arial" w:cs="Arial"/>
        </w:rPr>
        <w:t xml:space="preserve"> repair with cross pins were included</w:t>
      </w:r>
      <w:r>
        <w:rPr>
          <w:rStyle w:val="normaltextrun"/>
          <w:rFonts w:ascii="Arial" w:hAnsi="Arial" w:cs="Arial"/>
        </w:rPr>
        <w:t xml:space="preserve">. </w:t>
      </w:r>
      <w:r>
        <w:rPr>
          <w:rStyle w:val="normaltextrun"/>
          <w:rFonts w:ascii="Arial" w:hAnsi="Arial" w:cs="Arial"/>
        </w:rPr>
        <w:t xml:space="preserve">The average age was 6.6 months (range: 2.96 to 12) and the average weight was 15.4 kg (range: 3.8 to 41.5). The most common fracture type was Salter-Harris II. The mean time from trauma to surgery was 3.4 days (range: 0.5 to 8) and the mean time to surgery from arrival to the hospital was 1.3 days (range: 0.5 to 7). Fourteen dogs presented after being hit by a car and 11 jumped out of a vehicle. Other fractures occurred during play [1], falling or jumping down [9], catching their leg in something [3], being jumped on [1], crush injury [1], or unknown trauma [12]. The most common concurrent injury was hip luxation [7]. Two of the cases had bilateral </w:t>
      </w:r>
      <w:r>
        <w:rPr>
          <w:rStyle w:val="normaltextrun"/>
          <w:rFonts w:ascii="Arial" w:hAnsi="Arial" w:cs="Arial"/>
        </w:rPr>
        <w:t>DFPFs</w:t>
      </w:r>
      <w:r>
        <w:rPr>
          <w:rStyle w:val="normaltextrun"/>
          <w:rFonts w:ascii="Arial" w:hAnsi="Arial" w:cs="Arial"/>
        </w:rPr>
        <w:t>. </w:t>
      </w:r>
      <w:r>
        <w:rPr>
          <w:rStyle w:val="normaltextrun"/>
          <w:rFonts w:ascii="Arial" w:hAnsi="Arial" w:cs="Arial"/>
          <w:color w:val="D13438"/>
        </w:rPr>
        <w:t> </w:t>
      </w:r>
      <w:r>
        <w:rPr>
          <w:rStyle w:val="eop"/>
          <w:rFonts w:ascii="Arial" w:hAnsi="Arial" w:cs="Arial"/>
          <w:color w:val="D13438"/>
        </w:rPr>
        <w:t> </w:t>
      </w:r>
    </w:p>
    <w:p w14:paraId="2798E3C7" w14:textId="1874E1F7" w:rsidR="007955E0" w:rsidRDefault="008D7AA4" w:rsidP="008D7AA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Of the fractures, 19 were repaired using two pins, 19 used three, 9 used four, two used six, three used seven, and one used nine </w:t>
      </w:r>
      <w:r w:rsidR="007955E0">
        <w:rPr>
          <w:rStyle w:val="normaltextrun"/>
          <w:rFonts w:ascii="Arial" w:hAnsi="Arial" w:cs="Arial"/>
        </w:rPr>
        <w:t>pins</w:t>
      </w:r>
      <w:r>
        <w:rPr>
          <w:rStyle w:val="normaltextrun"/>
          <w:rFonts w:ascii="Arial" w:hAnsi="Arial" w:cs="Arial"/>
        </w:rPr>
        <w:t xml:space="preserve">. Pin sizes ranged from 0.035” to 9/64”. Five of the surgeries had a cortical transcondylar screw placed in addition to cross pin repair. Intraoperative complications included hypotension [4], second degree AV block [1], difficult intubation [4], pain [1], hypothermia [10], bradycardia [1], blood loss [1], and destabilization of the construct [1]. The mean surgical time was 135.48 minutes (range: 30 to 395), although some of these included concurrent surgeries such as femoral head ostectomy. Cefazolin was administered to all patients pre-operatively and intra-operatively except for one who received ampicillin-sulbactam. The average time from surgery to discharge was 2.65 days, </w:t>
      </w:r>
      <w:r w:rsidR="007955E0">
        <w:rPr>
          <w:rStyle w:val="normaltextrun"/>
          <w:rFonts w:ascii="Arial" w:hAnsi="Arial" w:cs="Arial"/>
        </w:rPr>
        <w:t>including</w:t>
      </w:r>
      <w:r>
        <w:rPr>
          <w:rStyle w:val="normaltextrun"/>
          <w:rFonts w:ascii="Arial" w:hAnsi="Arial" w:cs="Arial"/>
        </w:rPr>
        <w:t xml:space="preserve"> one dog that was boarded for 49 days for rehabilitation. Excluding this patient, the mean time to discharge was 1.72 days. </w:t>
      </w:r>
      <w:r>
        <w:rPr>
          <w:rStyle w:val="eop"/>
          <w:rFonts w:ascii="Arial" w:hAnsi="Arial" w:cs="Arial"/>
        </w:rPr>
        <w:t> </w:t>
      </w:r>
    </w:p>
    <w:p w14:paraId="279F09FA" w14:textId="0D2EAE75" w:rsidR="008D7AA4" w:rsidRDefault="008D7AA4" w:rsidP="008D7AA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 mean postoperative </w:t>
      </w:r>
      <w:proofErr w:type="spellStart"/>
      <w:r>
        <w:rPr>
          <w:rStyle w:val="normaltextrun"/>
          <w:rFonts w:ascii="Arial" w:hAnsi="Arial" w:cs="Arial"/>
        </w:rPr>
        <w:t>mLDFA</w:t>
      </w:r>
      <w:proofErr w:type="spellEnd"/>
      <w:r>
        <w:rPr>
          <w:rStyle w:val="normaltextrun"/>
          <w:rFonts w:ascii="Arial" w:hAnsi="Arial" w:cs="Arial"/>
        </w:rPr>
        <w:t xml:space="preserve"> was 98.9 degrees (range: 91 to 118) and </w:t>
      </w:r>
      <w:proofErr w:type="spellStart"/>
      <w:r>
        <w:rPr>
          <w:rStyle w:val="normaltextrun"/>
          <w:rFonts w:ascii="Arial" w:hAnsi="Arial" w:cs="Arial"/>
        </w:rPr>
        <w:t>mCdDFA</w:t>
      </w:r>
      <w:proofErr w:type="spellEnd"/>
      <w:r>
        <w:rPr>
          <w:rStyle w:val="normaltextrun"/>
          <w:rFonts w:ascii="Arial" w:hAnsi="Arial" w:cs="Arial"/>
        </w:rPr>
        <w:t xml:space="preserve"> was 113.9 degrees (range: 96 to 127). Three patients had a step defect which measured an average of 22.7% of the length of the physis. </w:t>
      </w:r>
    </w:p>
    <w:p w14:paraId="2B7803A1" w14:textId="5F228469" w:rsidR="008D7AA4" w:rsidRDefault="008D7AA4" w:rsidP="008D7AA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Post-operative complications occurred in five dogs (5/52, 9.6%), three of which experienced quadriceps contracture and two which had surgical site infections. One additional patient had a suspected infection, but it was not confirmed. One of the patients with an infection had had an open penetrating wound at the time of injury. </w:t>
      </w:r>
      <w:r>
        <w:rPr>
          <w:rStyle w:val="eop"/>
          <w:rFonts w:ascii="Arial" w:hAnsi="Arial" w:cs="Arial"/>
        </w:rPr>
        <w:t> </w:t>
      </w:r>
    </w:p>
    <w:p w14:paraId="68080F62" w14:textId="2114C291" w:rsidR="008D7AA4" w:rsidRDefault="008D7AA4" w:rsidP="008D7AA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lastRenderedPageBreak/>
        <w:t xml:space="preserve">Follow-up occurred at varying time intervals and was assessed from medical records. Of those with follow-up (31/52), ten recovered to an excellent functional outcome (10/31, 32.3%), fourteen were classed as fair </w:t>
      </w:r>
      <w:r>
        <w:rPr>
          <w:rStyle w:val="normaltextrun"/>
          <w:rFonts w:ascii="Arial" w:hAnsi="Arial" w:cs="Arial"/>
          <w:color w:val="32363A"/>
          <w:shd w:val="clear" w:color="auto" w:fill="FFFFFF"/>
        </w:rPr>
        <w:t>(14/31, 45.2%)</w:t>
      </w:r>
      <w:r>
        <w:rPr>
          <w:rStyle w:val="normaltextrun"/>
          <w:rFonts w:ascii="Arial" w:hAnsi="Arial" w:cs="Arial"/>
        </w:rPr>
        <w:t xml:space="preserve">, and seven as poor </w:t>
      </w:r>
      <w:r>
        <w:rPr>
          <w:rStyle w:val="normaltextrun"/>
          <w:rFonts w:ascii="Arial" w:hAnsi="Arial" w:cs="Arial"/>
          <w:color w:val="32363A"/>
          <w:shd w:val="clear" w:color="auto" w:fill="FFFFFF"/>
        </w:rPr>
        <w:t>(7/31, 22.5%)</w:t>
      </w:r>
      <w:r>
        <w:rPr>
          <w:rStyle w:val="normaltextrun"/>
          <w:rFonts w:ascii="Arial" w:hAnsi="Arial" w:cs="Arial"/>
        </w:rPr>
        <w:t xml:space="preserve">. Poor outcomes included patients with concurrent femoral head ostectomy [2], quadriceps contracture [2], infection [2], articular involvement of the fracture [1]. In addition, one of the cases with infection had a step defect of 29% of the physis. </w:t>
      </w:r>
      <w:proofErr w:type="spellStart"/>
      <w:r>
        <w:rPr>
          <w:rStyle w:val="normaltextrun"/>
          <w:rFonts w:ascii="Arial" w:hAnsi="Arial" w:cs="Arial"/>
        </w:rPr>
        <w:t>Explantation</w:t>
      </w:r>
      <w:proofErr w:type="spellEnd"/>
      <w:r>
        <w:rPr>
          <w:rStyle w:val="normaltextrun"/>
          <w:rFonts w:ascii="Arial" w:hAnsi="Arial" w:cs="Arial"/>
        </w:rPr>
        <w:t xml:space="preserve"> of the pins occurred in 22 patients due to lameness [10], pain and lameness [2], infection and pin migration [1], quadriceps contracture [1], swelling over the pin [2], pin migration [3], quadriceps contracture with infection and lameness [1], and unknown [1]. </w:t>
      </w:r>
      <w:proofErr w:type="spellStart"/>
      <w:r>
        <w:rPr>
          <w:rStyle w:val="normaltextrun"/>
          <w:rFonts w:ascii="Arial" w:hAnsi="Arial" w:cs="Arial"/>
        </w:rPr>
        <w:t>Explantation</w:t>
      </w:r>
      <w:proofErr w:type="spellEnd"/>
      <w:r>
        <w:rPr>
          <w:rStyle w:val="normaltextrun"/>
          <w:rFonts w:ascii="Arial" w:hAnsi="Arial" w:cs="Arial"/>
        </w:rPr>
        <w:t xml:space="preserve"> was attempted in one additional case, but no pins could be removed.  </w:t>
      </w:r>
      <w:r>
        <w:rPr>
          <w:rStyle w:val="eop"/>
          <w:rFonts w:ascii="Arial" w:hAnsi="Arial" w:cs="Arial"/>
        </w:rPr>
        <w:t> </w:t>
      </w:r>
    </w:p>
    <w:p w14:paraId="18430908" w14:textId="77777777" w:rsidR="008D7AA4" w:rsidRDefault="008D7AA4" w:rsidP="008D7AA4">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5EBE36FF" w14:textId="77777777" w:rsidR="008D7AA4" w:rsidRDefault="008D7AA4" w:rsidP="008D7AA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Conclusion:</w:t>
      </w:r>
      <w:r>
        <w:rPr>
          <w:rStyle w:val="normaltextrun"/>
          <w:rFonts w:ascii="Arial" w:hAnsi="Arial" w:cs="Arial"/>
        </w:rPr>
        <w:t>  </w:t>
      </w:r>
      <w:r>
        <w:rPr>
          <w:rStyle w:val="eop"/>
          <w:rFonts w:ascii="Arial" w:hAnsi="Arial" w:cs="Arial"/>
        </w:rPr>
        <w:t> </w:t>
      </w:r>
    </w:p>
    <w:p w14:paraId="4250AC3A" w14:textId="1500D0DE" w:rsidR="008D7AA4" w:rsidRDefault="008D7AA4" w:rsidP="008D7AA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We reject the hypothesis that </w:t>
      </w:r>
      <w:r>
        <w:rPr>
          <w:rStyle w:val="normaltextrun"/>
          <w:rFonts w:ascii="Arial" w:hAnsi="Arial" w:cs="Arial"/>
          <w:color w:val="32363A"/>
          <w:shd w:val="clear" w:color="auto" w:fill="FFFFFF"/>
        </w:rPr>
        <w:t xml:space="preserve">cross pin fixation of distal femoral fractures results in excellent long-term outcomes. Only a third of cases (32.3%) had excellent long-term functional outcomes, with </w:t>
      </w:r>
      <w:r w:rsidR="007955E0">
        <w:rPr>
          <w:rStyle w:val="normaltextrun"/>
          <w:rFonts w:ascii="Arial" w:hAnsi="Arial" w:cs="Arial"/>
          <w:color w:val="32363A"/>
          <w:shd w:val="clear" w:color="auto" w:fill="FFFFFF"/>
        </w:rPr>
        <w:t>most</w:t>
      </w:r>
      <w:r>
        <w:rPr>
          <w:rStyle w:val="normaltextrun"/>
          <w:rFonts w:ascii="Arial" w:hAnsi="Arial" w:cs="Arial"/>
          <w:color w:val="32363A"/>
          <w:shd w:val="clear" w:color="auto" w:fill="FFFFFF"/>
        </w:rPr>
        <w:t xml:space="preserve"> patients having fair (45.2%) or poor (22.5%) outcomes. </w:t>
      </w:r>
      <w:r>
        <w:rPr>
          <w:rStyle w:val="normaltextrun"/>
          <w:rFonts w:ascii="Arial" w:hAnsi="Arial" w:cs="Arial"/>
          <w:color w:val="32363A"/>
        </w:rPr>
        <w:t> </w:t>
      </w:r>
      <w:r>
        <w:rPr>
          <w:rStyle w:val="eop"/>
          <w:rFonts w:ascii="Arial" w:hAnsi="Arial" w:cs="Arial"/>
          <w:color w:val="32363A"/>
        </w:rPr>
        <w:t> </w:t>
      </w:r>
    </w:p>
    <w:p w14:paraId="2BEC13E0" w14:textId="77777777" w:rsidR="008D7AA4" w:rsidRDefault="008D7AA4" w:rsidP="008D7AA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Limitations of this study include the inherent limitations associated with a retrospective medical record review with inconsistencies in reporting the functional outcome at time of final recheck, limited sample size, and limited long-term follow up. Furthermore, rechecks occurred at different time periods, and outcomes could have also improved after </w:t>
      </w:r>
      <w:proofErr w:type="spellStart"/>
      <w:r>
        <w:rPr>
          <w:rStyle w:val="normaltextrun"/>
          <w:rFonts w:ascii="Arial" w:hAnsi="Arial" w:cs="Arial"/>
        </w:rPr>
        <w:t>explantation</w:t>
      </w:r>
      <w:proofErr w:type="spellEnd"/>
      <w:r>
        <w:rPr>
          <w:rStyle w:val="normaltextrun"/>
          <w:rFonts w:ascii="Arial" w:hAnsi="Arial" w:cs="Arial"/>
        </w:rPr>
        <w:t>, especially when resulting in lameness or reported pin-associated complications such as pin migration, pain over implant or infection.</w:t>
      </w:r>
      <w:r>
        <w:rPr>
          <w:rStyle w:val="eop"/>
          <w:rFonts w:ascii="Arial" w:hAnsi="Arial" w:cs="Arial"/>
        </w:rPr>
        <w:t> </w:t>
      </w:r>
    </w:p>
    <w:p w14:paraId="4DAC8DE6" w14:textId="13F62EBE" w:rsidR="008D7AA4" w:rsidRDefault="008D7AA4" w:rsidP="008D7AA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Finally, we hypothesize that patients with better functional outcomes were less likely to seek further veterinary evaluation, which could have contributed to a bias in results.  </w:t>
      </w:r>
      <w:r>
        <w:rPr>
          <w:rStyle w:val="eop"/>
          <w:rFonts w:ascii="Arial" w:hAnsi="Arial" w:cs="Arial"/>
        </w:rPr>
        <w:t> </w:t>
      </w:r>
    </w:p>
    <w:p w14:paraId="6FCC993A" w14:textId="77777777" w:rsidR="008D7AA4" w:rsidRDefault="008D7AA4" w:rsidP="008D7AA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Until larger multi-institutional long-term studies are performed, findings from this study may be used to guide conversations with owners regarding clinical long-term outcome of this procedure.  </w:t>
      </w:r>
      <w:r>
        <w:rPr>
          <w:rStyle w:val="eop"/>
          <w:rFonts w:ascii="Arial" w:hAnsi="Arial" w:cs="Arial"/>
        </w:rPr>
        <w:t> </w:t>
      </w:r>
    </w:p>
    <w:p w14:paraId="52E3056C" w14:textId="77777777" w:rsidR="007955E0" w:rsidRDefault="007955E0" w:rsidP="00E93D71">
      <w:pPr>
        <w:spacing w:line="240" w:lineRule="auto"/>
        <w:rPr>
          <w:rFonts w:ascii="Arial" w:hAnsi="Arial" w:cs="Arial"/>
          <w:b/>
          <w:bCs/>
          <w:sz w:val="24"/>
          <w:szCs w:val="24"/>
        </w:rPr>
      </w:pPr>
    </w:p>
    <w:p w14:paraId="6A29290A" w14:textId="666BDBFA" w:rsidR="00F31763" w:rsidRDefault="00531CC2" w:rsidP="00E93D71">
      <w:pPr>
        <w:spacing w:line="240" w:lineRule="auto"/>
        <w:rPr>
          <w:rFonts w:ascii="Arial" w:hAnsi="Arial" w:cs="Arial"/>
          <w:sz w:val="24"/>
          <w:szCs w:val="24"/>
        </w:rPr>
      </w:pPr>
      <w:r w:rsidRPr="00752F7D">
        <w:rPr>
          <w:rFonts w:ascii="Arial" w:hAnsi="Arial" w:cs="Arial"/>
          <w:b/>
          <w:bCs/>
          <w:sz w:val="24"/>
          <w:szCs w:val="24"/>
        </w:rPr>
        <w:t>References:</w:t>
      </w:r>
      <w:r w:rsidR="00F31763" w:rsidRPr="00752F7D">
        <w:rPr>
          <w:rFonts w:ascii="Arial" w:hAnsi="Arial" w:cs="Arial"/>
          <w:sz w:val="24"/>
          <w:szCs w:val="24"/>
        </w:rPr>
        <w:t xml:space="preserve"> </w:t>
      </w:r>
    </w:p>
    <w:p w14:paraId="243B6A1E" w14:textId="77777777" w:rsidR="00E93D71" w:rsidRPr="00E93D71" w:rsidRDefault="00E93D71" w:rsidP="00E93D71">
      <w:pPr>
        <w:pStyle w:val="NormalWeb"/>
        <w:numPr>
          <w:ilvl w:val="0"/>
          <w:numId w:val="2"/>
        </w:numPr>
        <w:spacing w:before="0" w:beforeAutospacing="0" w:after="0" w:afterAutospacing="0"/>
        <w:rPr>
          <w:rFonts w:ascii="Arial" w:hAnsi="Arial" w:cs="Arial"/>
          <w:color w:val="000000"/>
        </w:rPr>
      </w:pPr>
      <w:r w:rsidRPr="00E93D71">
        <w:rPr>
          <w:rFonts w:ascii="Arial" w:hAnsi="Arial" w:cs="Arial"/>
          <w:color w:val="000000"/>
        </w:rPr>
        <w:t>Johnston, S. A., Tobias, K. M., Peck, J. N., Kent, M., &amp; Elsevier (Amsterdam. (2018).</w:t>
      </w:r>
      <w:r w:rsidRPr="00E93D71">
        <w:rPr>
          <w:rStyle w:val="apple-converted-space"/>
          <w:rFonts w:ascii="Arial" w:hAnsi="Arial" w:cs="Arial"/>
          <w:color w:val="000000"/>
        </w:rPr>
        <w:t> </w:t>
      </w:r>
      <w:r w:rsidRPr="00E93D71">
        <w:rPr>
          <w:rFonts w:ascii="Arial" w:hAnsi="Arial" w:cs="Arial"/>
          <w:i/>
          <w:iCs/>
          <w:color w:val="000000"/>
        </w:rPr>
        <w:t>Veterinary surgery : small animal. Vol. 2</w:t>
      </w:r>
      <w:r w:rsidRPr="00E93D71">
        <w:rPr>
          <w:rFonts w:ascii="Arial" w:hAnsi="Arial" w:cs="Arial"/>
          <w:color w:val="000000"/>
        </w:rPr>
        <w:t>. Elsevier, Cop.</w:t>
      </w:r>
    </w:p>
    <w:p w14:paraId="0914DB03" w14:textId="7186058C" w:rsidR="00E93D71" w:rsidRPr="00E93D71" w:rsidRDefault="00E93D71" w:rsidP="00E93D71">
      <w:pPr>
        <w:pStyle w:val="NormalWeb"/>
        <w:numPr>
          <w:ilvl w:val="0"/>
          <w:numId w:val="2"/>
        </w:numPr>
        <w:spacing w:before="0" w:beforeAutospacing="0" w:after="0" w:afterAutospacing="0"/>
        <w:rPr>
          <w:rFonts w:ascii="Arial" w:hAnsi="Arial" w:cs="Arial"/>
          <w:color w:val="000000"/>
        </w:rPr>
      </w:pPr>
      <w:r w:rsidRPr="00E93D71">
        <w:rPr>
          <w:rFonts w:ascii="Arial" w:hAnsi="Arial" w:cs="Arial"/>
          <w:color w:val="000000"/>
        </w:rPr>
        <w:t>‌Brinker, Wade O, and Charles E Decamp.</w:t>
      </w:r>
      <w:r w:rsidRPr="00E93D71">
        <w:rPr>
          <w:rStyle w:val="apple-converted-space"/>
          <w:rFonts w:ascii="Arial" w:hAnsi="Arial" w:cs="Arial"/>
          <w:color w:val="000000"/>
        </w:rPr>
        <w:t> </w:t>
      </w:r>
      <w:r w:rsidRPr="00E93D71">
        <w:rPr>
          <w:rFonts w:ascii="Arial" w:hAnsi="Arial" w:cs="Arial"/>
          <w:i/>
          <w:iCs/>
          <w:color w:val="000000"/>
        </w:rPr>
        <w:t xml:space="preserve">Brinker, </w:t>
      </w:r>
      <w:proofErr w:type="spellStart"/>
      <w:r w:rsidRPr="00E93D71">
        <w:rPr>
          <w:rFonts w:ascii="Arial" w:hAnsi="Arial" w:cs="Arial"/>
          <w:i/>
          <w:iCs/>
          <w:color w:val="000000"/>
        </w:rPr>
        <w:t>Piermattei</w:t>
      </w:r>
      <w:proofErr w:type="spellEnd"/>
      <w:r w:rsidRPr="00E93D71">
        <w:rPr>
          <w:rFonts w:ascii="Arial" w:hAnsi="Arial" w:cs="Arial"/>
          <w:i/>
          <w:iCs/>
          <w:color w:val="000000"/>
        </w:rPr>
        <w:t>, and Flo’s Handbook of Small Animal Orthopedics and Fracture Repair.</w:t>
      </w:r>
      <w:r w:rsidRPr="00E93D71">
        <w:rPr>
          <w:rStyle w:val="apple-converted-space"/>
          <w:rFonts w:ascii="Arial" w:hAnsi="Arial" w:cs="Arial"/>
          <w:color w:val="000000"/>
        </w:rPr>
        <w:t> </w:t>
      </w:r>
      <w:r w:rsidRPr="00E93D71">
        <w:rPr>
          <w:rFonts w:ascii="Arial" w:hAnsi="Arial" w:cs="Arial"/>
          <w:color w:val="000000"/>
        </w:rPr>
        <w:t>St. Louis, Missouri, Elsevier, 2016.</w:t>
      </w:r>
    </w:p>
    <w:p w14:paraId="79A4D61E" w14:textId="77777777" w:rsidR="007955E0" w:rsidRDefault="007955E0" w:rsidP="00E93D71">
      <w:pPr>
        <w:pStyle w:val="NormalWeb"/>
        <w:spacing w:before="0" w:beforeAutospacing="0" w:after="0" w:afterAutospacing="0"/>
        <w:rPr>
          <w:rFonts w:ascii="Arial" w:hAnsi="Arial" w:cs="Arial"/>
          <w:b/>
          <w:bCs/>
        </w:rPr>
      </w:pPr>
    </w:p>
    <w:p w14:paraId="65947474" w14:textId="7F8703AC" w:rsidR="00B71961" w:rsidRPr="00E93D71" w:rsidRDefault="00531CC2" w:rsidP="00E93D71">
      <w:pPr>
        <w:pStyle w:val="NormalWeb"/>
        <w:spacing w:before="0" w:beforeAutospacing="0" w:after="0" w:afterAutospacing="0"/>
        <w:rPr>
          <w:rFonts w:ascii="Arial" w:hAnsi="Arial" w:cs="Arial"/>
          <w:color w:val="000000"/>
        </w:rPr>
      </w:pPr>
      <w:r w:rsidRPr="00E93D71">
        <w:rPr>
          <w:rFonts w:ascii="Arial" w:hAnsi="Arial" w:cs="Arial"/>
          <w:b/>
          <w:bCs/>
        </w:rPr>
        <w:t>Acknowledgements:</w:t>
      </w:r>
      <w:r w:rsidR="00B71961" w:rsidRPr="00E93D71">
        <w:rPr>
          <w:rFonts w:ascii="Arial" w:hAnsi="Arial" w:cs="Arial"/>
        </w:rPr>
        <w:t xml:space="preserve"> </w:t>
      </w:r>
      <w:r w:rsidR="008707EE" w:rsidRPr="00E93D71">
        <w:rPr>
          <w:rFonts w:ascii="Arial" w:hAnsi="Arial" w:cs="Arial"/>
          <w:color w:val="000000" w:themeColor="text1"/>
        </w:rPr>
        <w:t>There was no proprietary interest or funding provided for this project.</w:t>
      </w:r>
    </w:p>
    <w:sectPr w:rsidR="00B71961" w:rsidRPr="00E93D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C426D4"/>
    <w:multiLevelType w:val="hybridMultilevel"/>
    <w:tmpl w:val="7ECE3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F4551A"/>
    <w:multiLevelType w:val="hybridMultilevel"/>
    <w:tmpl w:val="51F47996"/>
    <w:lvl w:ilvl="0" w:tplc="DD606EBC">
      <w:start w:val="1"/>
      <w:numFmt w:val="decimal"/>
      <w:lvlText w:val="%1."/>
      <w:lvlJc w:val="left"/>
      <w:pPr>
        <w:ind w:left="720" w:hanging="360"/>
      </w:pPr>
    </w:lvl>
    <w:lvl w:ilvl="1" w:tplc="98D25BD6">
      <w:start w:val="1"/>
      <w:numFmt w:val="lowerLetter"/>
      <w:lvlText w:val="%2."/>
      <w:lvlJc w:val="left"/>
      <w:pPr>
        <w:ind w:left="1440" w:hanging="360"/>
      </w:pPr>
    </w:lvl>
    <w:lvl w:ilvl="2" w:tplc="B01812A2">
      <w:start w:val="1"/>
      <w:numFmt w:val="lowerRoman"/>
      <w:lvlText w:val="%3."/>
      <w:lvlJc w:val="right"/>
      <w:pPr>
        <w:ind w:left="2160" w:hanging="180"/>
      </w:pPr>
    </w:lvl>
    <w:lvl w:ilvl="3" w:tplc="2A02E8FE">
      <w:start w:val="1"/>
      <w:numFmt w:val="decimal"/>
      <w:lvlText w:val="%4."/>
      <w:lvlJc w:val="left"/>
      <w:pPr>
        <w:ind w:left="2880" w:hanging="360"/>
      </w:pPr>
    </w:lvl>
    <w:lvl w:ilvl="4" w:tplc="02164F78">
      <w:start w:val="1"/>
      <w:numFmt w:val="lowerLetter"/>
      <w:lvlText w:val="%5."/>
      <w:lvlJc w:val="left"/>
      <w:pPr>
        <w:ind w:left="3600" w:hanging="360"/>
      </w:pPr>
    </w:lvl>
    <w:lvl w:ilvl="5" w:tplc="0808922E">
      <w:start w:val="1"/>
      <w:numFmt w:val="lowerRoman"/>
      <w:lvlText w:val="%6."/>
      <w:lvlJc w:val="right"/>
      <w:pPr>
        <w:ind w:left="4320" w:hanging="180"/>
      </w:pPr>
    </w:lvl>
    <w:lvl w:ilvl="6" w:tplc="55E6CD6A">
      <w:start w:val="1"/>
      <w:numFmt w:val="decimal"/>
      <w:lvlText w:val="%7."/>
      <w:lvlJc w:val="left"/>
      <w:pPr>
        <w:ind w:left="5040" w:hanging="360"/>
      </w:pPr>
    </w:lvl>
    <w:lvl w:ilvl="7" w:tplc="14CC5842">
      <w:start w:val="1"/>
      <w:numFmt w:val="lowerLetter"/>
      <w:lvlText w:val="%8."/>
      <w:lvlJc w:val="left"/>
      <w:pPr>
        <w:ind w:left="5760" w:hanging="360"/>
      </w:pPr>
    </w:lvl>
    <w:lvl w:ilvl="8" w:tplc="5456FFD4">
      <w:start w:val="1"/>
      <w:numFmt w:val="lowerRoman"/>
      <w:lvlText w:val="%9."/>
      <w:lvlJc w:val="right"/>
      <w:pPr>
        <w:ind w:left="6480" w:hanging="180"/>
      </w:pPr>
    </w:lvl>
  </w:abstractNum>
  <w:abstractNum w:abstractNumId="2" w15:restartNumberingAfterBreak="0">
    <w:nsid w:val="699B33D9"/>
    <w:multiLevelType w:val="hybridMultilevel"/>
    <w:tmpl w:val="E14A5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985B20"/>
    <w:multiLevelType w:val="hybridMultilevel"/>
    <w:tmpl w:val="471C6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676679">
    <w:abstractNumId w:val="2"/>
  </w:num>
  <w:num w:numId="2" w16cid:durableId="173426216">
    <w:abstractNumId w:val="3"/>
  </w:num>
  <w:num w:numId="3" w16cid:durableId="361322575">
    <w:abstractNumId w:val="1"/>
  </w:num>
  <w:num w:numId="4" w16cid:durableId="1707486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763"/>
    <w:rsid w:val="00061FA9"/>
    <w:rsid w:val="00072DD0"/>
    <w:rsid w:val="000E368E"/>
    <w:rsid w:val="002045EA"/>
    <w:rsid w:val="0023698C"/>
    <w:rsid w:val="00274DAB"/>
    <w:rsid w:val="002B2A51"/>
    <w:rsid w:val="002F79D8"/>
    <w:rsid w:val="003101F8"/>
    <w:rsid w:val="00355804"/>
    <w:rsid w:val="004B4BD1"/>
    <w:rsid w:val="004B7F9B"/>
    <w:rsid w:val="00531CC2"/>
    <w:rsid w:val="005D769A"/>
    <w:rsid w:val="00623AEF"/>
    <w:rsid w:val="006416E0"/>
    <w:rsid w:val="00676245"/>
    <w:rsid w:val="00752F7D"/>
    <w:rsid w:val="007955E0"/>
    <w:rsid w:val="007A2D12"/>
    <w:rsid w:val="007F06F9"/>
    <w:rsid w:val="008707EE"/>
    <w:rsid w:val="0088326B"/>
    <w:rsid w:val="008A2942"/>
    <w:rsid w:val="008D7AA4"/>
    <w:rsid w:val="008D7C19"/>
    <w:rsid w:val="00926EF6"/>
    <w:rsid w:val="00A54E1F"/>
    <w:rsid w:val="00A64789"/>
    <w:rsid w:val="00B4380C"/>
    <w:rsid w:val="00B47149"/>
    <w:rsid w:val="00B71961"/>
    <w:rsid w:val="00C9106A"/>
    <w:rsid w:val="00DD0524"/>
    <w:rsid w:val="00E90BB1"/>
    <w:rsid w:val="00E93D71"/>
    <w:rsid w:val="00EF673B"/>
    <w:rsid w:val="00F1275B"/>
    <w:rsid w:val="00F250D2"/>
    <w:rsid w:val="00F31763"/>
    <w:rsid w:val="00F75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C8413"/>
  <w15:chartTrackingRefBased/>
  <w15:docId w15:val="{CC84EF8A-1AF4-4040-A39A-B7396148C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1763"/>
    <w:rPr>
      <w:color w:val="808080"/>
    </w:rPr>
  </w:style>
  <w:style w:type="character" w:customStyle="1" w:styleId="apple-converted-space">
    <w:name w:val="apple-converted-space"/>
    <w:basedOn w:val="DefaultParagraphFont"/>
    <w:rsid w:val="008707EE"/>
  </w:style>
  <w:style w:type="paragraph" w:styleId="ListParagraph">
    <w:name w:val="List Paragraph"/>
    <w:basedOn w:val="Normal"/>
    <w:uiPriority w:val="34"/>
    <w:qFormat/>
    <w:rsid w:val="006416E0"/>
    <w:pPr>
      <w:ind w:left="720"/>
      <w:contextualSpacing/>
    </w:pPr>
  </w:style>
  <w:style w:type="paragraph" w:styleId="NormalWeb">
    <w:name w:val="Normal (Web)"/>
    <w:basedOn w:val="Normal"/>
    <w:uiPriority w:val="99"/>
    <w:unhideWhenUsed/>
    <w:rsid w:val="006416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7A2D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A2D12"/>
  </w:style>
  <w:style w:type="character" w:customStyle="1" w:styleId="eop">
    <w:name w:val="eop"/>
    <w:basedOn w:val="DefaultParagraphFont"/>
    <w:rsid w:val="007A2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0DC7A-7E89-4596-9D2D-73753566B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867</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North Carolina State University</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Nicole McGee</dc:creator>
  <cp:keywords/>
  <dc:description/>
  <cp:lastModifiedBy>Janssen-Madden, Sophia</cp:lastModifiedBy>
  <cp:revision>2</cp:revision>
  <dcterms:created xsi:type="dcterms:W3CDTF">2025-10-31T02:51:00Z</dcterms:created>
  <dcterms:modified xsi:type="dcterms:W3CDTF">2025-10-31T02:51:00Z</dcterms:modified>
</cp:coreProperties>
</file>