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2D4E" w14:textId="27F9F44B" w:rsidR="00567E0A" w:rsidRDefault="00567E0A" w:rsidP="00246D22">
      <w:pPr>
        <w:spacing w:line="240" w:lineRule="auto"/>
        <w:rPr>
          <w:rFonts w:ascii="Arial" w:hAnsi="Arial" w:cs="Arial"/>
          <w:b/>
          <w:bCs/>
          <w:sz w:val="24"/>
          <w:szCs w:val="24"/>
        </w:rPr>
      </w:pPr>
      <w:r w:rsidRPr="00567E0A">
        <w:rPr>
          <w:rFonts w:ascii="Arial" w:hAnsi="Arial" w:cs="Arial"/>
          <w:b/>
          <w:bCs/>
          <w:sz w:val="24"/>
          <w:szCs w:val="24"/>
        </w:rPr>
        <w:t xml:space="preserve">Evaluation of </w:t>
      </w:r>
      <w:r w:rsidR="000F2240">
        <w:rPr>
          <w:rFonts w:ascii="Arial" w:hAnsi="Arial" w:cs="Arial"/>
          <w:b/>
          <w:bCs/>
          <w:sz w:val="24"/>
          <w:szCs w:val="24"/>
        </w:rPr>
        <w:t>D</w:t>
      </w:r>
      <w:r w:rsidRPr="00567E0A">
        <w:rPr>
          <w:rFonts w:ascii="Arial" w:hAnsi="Arial" w:cs="Arial"/>
          <w:b/>
          <w:bCs/>
          <w:sz w:val="24"/>
          <w:szCs w:val="24"/>
        </w:rPr>
        <w:t>isease-</w:t>
      </w:r>
      <w:r w:rsidR="000F2240">
        <w:rPr>
          <w:rFonts w:ascii="Arial" w:hAnsi="Arial" w:cs="Arial"/>
          <w:b/>
          <w:bCs/>
          <w:sz w:val="24"/>
          <w:szCs w:val="24"/>
        </w:rPr>
        <w:t>M</w:t>
      </w:r>
      <w:r w:rsidRPr="00567E0A">
        <w:rPr>
          <w:rFonts w:ascii="Arial" w:hAnsi="Arial" w:cs="Arial"/>
          <w:b/>
          <w:bCs/>
          <w:sz w:val="24"/>
          <w:szCs w:val="24"/>
        </w:rPr>
        <w:t xml:space="preserve">odifying </w:t>
      </w:r>
      <w:r w:rsidR="000F2240">
        <w:rPr>
          <w:rFonts w:ascii="Arial" w:hAnsi="Arial" w:cs="Arial"/>
          <w:b/>
          <w:bCs/>
          <w:sz w:val="24"/>
          <w:szCs w:val="24"/>
        </w:rPr>
        <w:t>E</w:t>
      </w:r>
      <w:r w:rsidRPr="00567E0A">
        <w:rPr>
          <w:rFonts w:ascii="Arial" w:hAnsi="Arial" w:cs="Arial"/>
          <w:b/>
          <w:bCs/>
          <w:sz w:val="24"/>
          <w:szCs w:val="24"/>
        </w:rPr>
        <w:t xml:space="preserve">ffects </w:t>
      </w:r>
      <w:r w:rsidR="000F2240">
        <w:rPr>
          <w:rFonts w:ascii="Arial" w:hAnsi="Arial" w:cs="Arial"/>
          <w:b/>
          <w:bCs/>
          <w:sz w:val="24"/>
          <w:szCs w:val="24"/>
        </w:rPr>
        <w:t>F</w:t>
      </w:r>
      <w:r w:rsidRPr="00567E0A">
        <w:rPr>
          <w:rFonts w:ascii="Arial" w:hAnsi="Arial" w:cs="Arial"/>
          <w:b/>
          <w:bCs/>
          <w:sz w:val="24"/>
          <w:szCs w:val="24"/>
        </w:rPr>
        <w:t xml:space="preserve">ollowing </w:t>
      </w:r>
      <w:r w:rsidR="000F2240">
        <w:rPr>
          <w:rFonts w:ascii="Arial" w:hAnsi="Arial" w:cs="Arial"/>
          <w:b/>
          <w:bCs/>
          <w:sz w:val="24"/>
          <w:szCs w:val="24"/>
        </w:rPr>
        <w:t>O</w:t>
      </w:r>
      <w:r w:rsidRPr="00567E0A">
        <w:rPr>
          <w:rFonts w:ascii="Arial" w:hAnsi="Arial" w:cs="Arial"/>
          <w:b/>
          <w:bCs/>
          <w:sz w:val="24"/>
          <w:szCs w:val="24"/>
        </w:rPr>
        <w:t xml:space="preserve">ral </w:t>
      </w:r>
      <w:r w:rsidR="000F2240">
        <w:rPr>
          <w:rFonts w:ascii="Arial" w:hAnsi="Arial" w:cs="Arial"/>
          <w:b/>
          <w:bCs/>
          <w:sz w:val="24"/>
          <w:szCs w:val="24"/>
        </w:rPr>
        <w:t>A</w:t>
      </w:r>
      <w:r w:rsidRPr="00567E0A">
        <w:rPr>
          <w:rFonts w:ascii="Arial" w:hAnsi="Arial" w:cs="Arial"/>
          <w:b/>
          <w:bCs/>
          <w:sz w:val="24"/>
          <w:szCs w:val="24"/>
        </w:rPr>
        <w:t>dministration of</w:t>
      </w:r>
      <w:r w:rsidR="000F2240">
        <w:rPr>
          <w:rFonts w:ascii="Arial" w:hAnsi="Arial" w:cs="Arial"/>
          <w:b/>
          <w:bCs/>
          <w:sz w:val="24"/>
          <w:szCs w:val="24"/>
        </w:rPr>
        <w:t xml:space="preserve"> a S</w:t>
      </w:r>
      <w:r w:rsidRPr="00567E0A">
        <w:rPr>
          <w:rFonts w:ascii="Arial" w:hAnsi="Arial" w:cs="Arial"/>
          <w:b/>
          <w:bCs/>
          <w:sz w:val="24"/>
          <w:szCs w:val="24"/>
        </w:rPr>
        <w:t xml:space="preserve">oluble </w:t>
      </w:r>
      <w:r w:rsidR="000F2240">
        <w:rPr>
          <w:rFonts w:ascii="Arial" w:hAnsi="Arial" w:cs="Arial"/>
          <w:b/>
          <w:bCs/>
          <w:sz w:val="24"/>
          <w:szCs w:val="24"/>
        </w:rPr>
        <w:t>E</w:t>
      </w:r>
      <w:r w:rsidRPr="00567E0A">
        <w:rPr>
          <w:rFonts w:ascii="Arial" w:hAnsi="Arial" w:cs="Arial"/>
          <w:b/>
          <w:bCs/>
          <w:sz w:val="24"/>
          <w:szCs w:val="24"/>
        </w:rPr>
        <w:t xml:space="preserve">poxide </w:t>
      </w:r>
      <w:r w:rsidR="000F2240">
        <w:rPr>
          <w:rFonts w:ascii="Arial" w:hAnsi="Arial" w:cs="Arial"/>
          <w:b/>
          <w:bCs/>
          <w:sz w:val="24"/>
          <w:szCs w:val="24"/>
        </w:rPr>
        <w:t>H</w:t>
      </w:r>
      <w:r w:rsidRPr="00567E0A">
        <w:rPr>
          <w:rFonts w:ascii="Arial" w:hAnsi="Arial" w:cs="Arial"/>
          <w:b/>
          <w:bCs/>
          <w:sz w:val="24"/>
          <w:szCs w:val="24"/>
        </w:rPr>
        <w:t xml:space="preserve">ydrolase </w:t>
      </w:r>
      <w:r w:rsidR="000F2240">
        <w:rPr>
          <w:rFonts w:ascii="Arial" w:hAnsi="Arial" w:cs="Arial"/>
          <w:b/>
          <w:bCs/>
          <w:sz w:val="24"/>
          <w:szCs w:val="24"/>
        </w:rPr>
        <w:t>I</w:t>
      </w:r>
      <w:r w:rsidRPr="00567E0A">
        <w:rPr>
          <w:rFonts w:ascii="Arial" w:hAnsi="Arial" w:cs="Arial"/>
          <w:b/>
          <w:bCs/>
          <w:sz w:val="24"/>
          <w:szCs w:val="24"/>
        </w:rPr>
        <w:t xml:space="preserve">nhibitor and </w:t>
      </w:r>
      <w:r w:rsidR="000F2240">
        <w:rPr>
          <w:rFonts w:ascii="Arial" w:hAnsi="Arial" w:cs="Arial"/>
          <w:b/>
          <w:bCs/>
          <w:sz w:val="24"/>
          <w:szCs w:val="24"/>
        </w:rPr>
        <w:t>C</w:t>
      </w:r>
      <w:r w:rsidRPr="00567E0A">
        <w:rPr>
          <w:rFonts w:ascii="Arial" w:hAnsi="Arial" w:cs="Arial"/>
          <w:b/>
          <w:bCs/>
          <w:sz w:val="24"/>
          <w:szCs w:val="24"/>
        </w:rPr>
        <w:t xml:space="preserve">yclooxygenase-2 </w:t>
      </w:r>
      <w:r w:rsidR="000F2240">
        <w:rPr>
          <w:rFonts w:ascii="Arial" w:hAnsi="Arial" w:cs="Arial"/>
          <w:b/>
          <w:bCs/>
          <w:sz w:val="24"/>
          <w:szCs w:val="24"/>
        </w:rPr>
        <w:t>S</w:t>
      </w:r>
      <w:r w:rsidRPr="00567E0A">
        <w:rPr>
          <w:rFonts w:ascii="Arial" w:hAnsi="Arial" w:cs="Arial"/>
          <w:b/>
          <w:bCs/>
          <w:sz w:val="24"/>
          <w:szCs w:val="24"/>
        </w:rPr>
        <w:t xml:space="preserve">elective </w:t>
      </w:r>
      <w:r w:rsidR="000F2240">
        <w:rPr>
          <w:rFonts w:ascii="Arial" w:hAnsi="Arial" w:cs="Arial"/>
          <w:b/>
          <w:bCs/>
          <w:sz w:val="24"/>
          <w:szCs w:val="24"/>
        </w:rPr>
        <w:t>I</w:t>
      </w:r>
      <w:r w:rsidRPr="00567E0A">
        <w:rPr>
          <w:rFonts w:ascii="Arial" w:hAnsi="Arial" w:cs="Arial"/>
          <w:b/>
          <w:bCs/>
          <w:sz w:val="24"/>
          <w:szCs w:val="24"/>
        </w:rPr>
        <w:t xml:space="preserve">nhibitor in </w:t>
      </w:r>
      <w:r w:rsidR="000F2240">
        <w:rPr>
          <w:rFonts w:ascii="Arial" w:hAnsi="Arial" w:cs="Arial"/>
          <w:b/>
          <w:bCs/>
          <w:sz w:val="24"/>
          <w:szCs w:val="24"/>
        </w:rPr>
        <w:t>H</w:t>
      </w:r>
      <w:r w:rsidRPr="00567E0A">
        <w:rPr>
          <w:rFonts w:ascii="Arial" w:hAnsi="Arial" w:cs="Arial"/>
          <w:b/>
          <w:bCs/>
          <w:sz w:val="24"/>
          <w:szCs w:val="24"/>
        </w:rPr>
        <w:t xml:space="preserve">orses with </w:t>
      </w:r>
      <w:r w:rsidR="000F2240">
        <w:rPr>
          <w:rFonts w:ascii="Arial" w:hAnsi="Arial" w:cs="Arial"/>
          <w:b/>
          <w:bCs/>
          <w:sz w:val="24"/>
          <w:szCs w:val="24"/>
        </w:rPr>
        <w:t>N</w:t>
      </w:r>
      <w:r w:rsidRPr="00567E0A">
        <w:rPr>
          <w:rFonts w:ascii="Arial" w:hAnsi="Arial" w:cs="Arial"/>
          <w:b/>
          <w:bCs/>
          <w:sz w:val="24"/>
          <w:szCs w:val="24"/>
        </w:rPr>
        <w:t xml:space="preserve">aturally </w:t>
      </w:r>
      <w:r w:rsidR="000F2240">
        <w:rPr>
          <w:rFonts w:ascii="Arial" w:hAnsi="Arial" w:cs="Arial"/>
          <w:b/>
          <w:bCs/>
          <w:sz w:val="24"/>
          <w:szCs w:val="24"/>
        </w:rPr>
        <w:t>O</w:t>
      </w:r>
      <w:r w:rsidRPr="00567E0A">
        <w:rPr>
          <w:rFonts w:ascii="Arial" w:hAnsi="Arial" w:cs="Arial"/>
          <w:b/>
          <w:bCs/>
          <w:sz w:val="24"/>
          <w:szCs w:val="24"/>
        </w:rPr>
        <w:t xml:space="preserve">ccurring </w:t>
      </w:r>
      <w:r w:rsidR="000F2240">
        <w:rPr>
          <w:rFonts w:ascii="Arial" w:hAnsi="Arial" w:cs="Arial"/>
          <w:b/>
          <w:bCs/>
          <w:sz w:val="24"/>
          <w:szCs w:val="24"/>
        </w:rPr>
        <w:t>O</w:t>
      </w:r>
      <w:r w:rsidRPr="00567E0A">
        <w:rPr>
          <w:rFonts w:ascii="Arial" w:hAnsi="Arial" w:cs="Arial"/>
          <w:b/>
          <w:bCs/>
          <w:sz w:val="24"/>
          <w:szCs w:val="24"/>
        </w:rPr>
        <w:t>steoarthritis</w:t>
      </w:r>
    </w:p>
    <w:p w14:paraId="57E93AC8" w14:textId="44414B53" w:rsidR="005D1753" w:rsidRDefault="00531CC2" w:rsidP="00246D22">
      <w:pPr>
        <w:spacing w:line="240" w:lineRule="auto"/>
        <w:rPr>
          <w:rFonts w:ascii="Arial" w:hAnsi="Arial" w:cs="Arial"/>
          <w:sz w:val="24"/>
          <w:szCs w:val="24"/>
        </w:rPr>
      </w:pPr>
      <w:r w:rsidRPr="004E2CD8">
        <w:rPr>
          <w:rFonts w:ascii="Arial" w:hAnsi="Arial" w:cs="Arial"/>
          <w:b/>
          <w:bCs/>
          <w:sz w:val="24"/>
          <w:szCs w:val="24"/>
        </w:rPr>
        <w:t>Objective:</w:t>
      </w:r>
      <w:r w:rsidR="00F31763" w:rsidRPr="004B7F9B">
        <w:rPr>
          <w:rFonts w:ascii="Arial" w:hAnsi="Arial" w:cs="Arial"/>
          <w:sz w:val="24"/>
          <w:szCs w:val="24"/>
        </w:rPr>
        <w:t xml:space="preserve"> </w:t>
      </w:r>
      <w:r w:rsidR="005D1753" w:rsidRPr="005D1753">
        <w:rPr>
          <w:rFonts w:ascii="Arial" w:hAnsi="Arial" w:cs="Arial"/>
          <w:sz w:val="24"/>
          <w:szCs w:val="24"/>
        </w:rPr>
        <w:t>Soluble epoxide hydrolase (</w:t>
      </w:r>
      <w:proofErr w:type="spellStart"/>
      <w:r w:rsidR="005D1753" w:rsidRPr="005D1753">
        <w:rPr>
          <w:rFonts w:ascii="Arial" w:hAnsi="Arial" w:cs="Arial"/>
          <w:sz w:val="24"/>
          <w:szCs w:val="24"/>
        </w:rPr>
        <w:t>sEH</w:t>
      </w:r>
      <w:proofErr w:type="spellEnd"/>
      <w:r w:rsidR="005D1753" w:rsidRPr="005D1753">
        <w:rPr>
          <w:rFonts w:ascii="Arial" w:hAnsi="Arial" w:cs="Arial"/>
          <w:sz w:val="24"/>
          <w:szCs w:val="24"/>
        </w:rPr>
        <w:t xml:space="preserve">) inhibitors have demonstrated promising </w:t>
      </w:r>
      <w:r w:rsidR="00F27141">
        <w:rPr>
          <w:rFonts w:ascii="Arial" w:hAnsi="Arial" w:cs="Arial"/>
          <w:sz w:val="24"/>
          <w:szCs w:val="24"/>
        </w:rPr>
        <w:t xml:space="preserve">anti-inflammatory and analgesic </w:t>
      </w:r>
      <w:r w:rsidR="005D1753" w:rsidRPr="005D1753">
        <w:rPr>
          <w:rFonts w:ascii="Arial" w:hAnsi="Arial" w:cs="Arial"/>
          <w:sz w:val="24"/>
          <w:szCs w:val="24"/>
        </w:rPr>
        <w:t xml:space="preserve">effects in </w:t>
      </w:r>
      <w:r w:rsidR="006D426E" w:rsidRPr="005D1753">
        <w:rPr>
          <w:rFonts w:ascii="Arial" w:hAnsi="Arial" w:cs="Arial"/>
          <w:sz w:val="24"/>
          <w:szCs w:val="24"/>
        </w:rPr>
        <w:t>vivo</w:t>
      </w:r>
      <w:r w:rsidR="00246D22">
        <w:rPr>
          <w:rFonts w:ascii="Arial" w:hAnsi="Arial" w:cs="Arial"/>
          <w:sz w:val="24"/>
          <w:szCs w:val="24"/>
        </w:rPr>
        <w:t>,</w:t>
      </w:r>
      <w:r w:rsidR="00EF1AE2">
        <w:rPr>
          <w:rFonts w:ascii="Arial" w:hAnsi="Arial" w:cs="Arial"/>
          <w:sz w:val="24"/>
          <w:szCs w:val="24"/>
        </w:rPr>
        <w:fldChar w:fldCharType="begin">
          <w:fldData xml:space="preserve">PEVuZE5vdGU+PENpdGU+PEF1dGhvcj5UdWNrZXI8L0F1dGhvcj48WWVhcj4yMDIxPC9ZZWFyPjxS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</w:fldData>
        </w:fldChar>
      </w:r>
      <w:r w:rsidR="00EF1AE2">
        <w:rPr>
          <w:rFonts w:ascii="Arial" w:hAnsi="Arial" w:cs="Arial"/>
          <w:sz w:val="24"/>
          <w:szCs w:val="24"/>
        </w:rPr>
        <w:instrText xml:space="preserve"> ADDIN EN.CITE </w:instrText>
      </w:r>
      <w:r w:rsidR="00EF1AE2">
        <w:rPr>
          <w:rFonts w:ascii="Arial" w:hAnsi="Arial" w:cs="Arial"/>
          <w:sz w:val="24"/>
          <w:szCs w:val="24"/>
        </w:rPr>
        <w:fldChar w:fldCharType="begin">
          <w:fldData xml:space="preserve">PEVuZE5vdGU+PENpdGU+PEF1dGhvcj5UdWNrZXI8L0F1dGhvcj48WWVhcj4yMDIxPC9ZZWFyPjxS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</w:fldData>
        </w:fldChar>
      </w:r>
      <w:r w:rsidR="00EF1AE2">
        <w:rPr>
          <w:rFonts w:ascii="Arial" w:hAnsi="Arial" w:cs="Arial"/>
          <w:sz w:val="24"/>
          <w:szCs w:val="24"/>
        </w:rPr>
        <w:instrText xml:space="preserve"> ADDIN EN.CITE.DATA </w:instrText>
      </w:r>
      <w:r w:rsidR="00EF1AE2">
        <w:rPr>
          <w:rFonts w:ascii="Arial" w:hAnsi="Arial" w:cs="Arial"/>
          <w:sz w:val="24"/>
          <w:szCs w:val="24"/>
        </w:rPr>
      </w:r>
      <w:r w:rsidR="00EF1AE2">
        <w:rPr>
          <w:rFonts w:ascii="Arial" w:hAnsi="Arial" w:cs="Arial"/>
          <w:sz w:val="24"/>
          <w:szCs w:val="24"/>
        </w:rPr>
        <w:fldChar w:fldCharType="end"/>
      </w:r>
      <w:r w:rsidR="00EF1AE2">
        <w:rPr>
          <w:rFonts w:ascii="Arial" w:hAnsi="Arial" w:cs="Arial"/>
          <w:sz w:val="24"/>
          <w:szCs w:val="24"/>
        </w:rPr>
      </w:r>
      <w:r w:rsidR="00EF1AE2">
        <w:rPr>
          <w:rFonts w:ascii="Arial" w:hAnsi="Arial" w:cs="Arial"/>
          <w:sz w:val="24"/>
          <w:szCs w:val="24"/>
        </w:rPr>
        <w:fldChar w:fldCharType="separate"/>
      </w:r>
      <w:r w:rsidR="00EF1AE2" w:rsidRPr="00EF1AE2">
        <w:rPr>
          <w:rFonts w:ascii="Arial" w:hAnsi="Arial" w:cs="Arial"/>
          <w:noProof/>
          <w:sz w:val="24"/>
          <w:szCs w:val="24"/>
          <w:vertAlign w:val="superscript"/>
        </w:rPr>
        <w:t>1,2</w:t>
      </w:r>
      <w:r w:rsidR="00EF1AE2">
        <w:rPr>
          <w:rFonts w:ascii="Arial" w:hAnsi="Arial" w:cs="Arial"/>
          <w:sz w:val="24"/>
          <w:szCs w:val="24"/>
        </w:rPr>
        <w:fldChar w:fldCharType="end"/>
      </w:r>
      <w:r w:rsidR="005D1753" w:rsidRPr="005D1753">
        <w:rPr>
          <w:rFonts w:ascii="Arial" w:hAnsi="Arial" w:cs="Arial"/>
          <w:sz w:val="24"/>
          <w:szCs w:val="24"/>
        </w:rPr>
        <w:t xml:space="preserve"> indicating they may be useful in treating osteoarthritis</w:t>
      </w:r>
      <w:r w:rsidR="00394E82">
        <w:rPr>
          <w:rFonts w:ascii="Arial" w:hAnsi="Arial" w:cs="Arial"/>
          <w:sz w:val="24"/>
          <w:szCs w:val="24"/>
        </w:rPr>
        <w:t xml:space="preserve"> </w:t>
      </w:r>
      <w:r w:rsidR="00F27141">
        <w:rPr>
          <w:rFonts w:ascii="Arial" w:hAnsi="Arial" w:cs="Arial"/>
          <w:sz w:val="24"/>
          <w:szCs w:val="24"/>
        </w:rPr>
        <w:t xml:space="preserve">without </w:t>
      </w:r>
      <w:r w:rsidR="00085FC8">
        <w:rPr>
          <w:rFonts w:ascii="Arial" w:hAnsi="Arial" w:cs="Arial"/>
          <w:sz w:val="24"/>
          <w:szCs w:val="24"/>
        </w:rPr>
        <w:t>adverse</w:t>
      </w:r>
      <w:r w:rsidR="00F27141">
        <w:rPr>
          <w:rFonts w:ascii="Arial" w:hAnsi="Arial" w:cs="Arial"/>
          <w:sz w:val="24"/>
          <w:szCs w:val="24"/>
        </w:rPr>
        <w:t xml:space="preserve"> effects</w:t>
      </w:r>
      <w:r w:rsidR="005D1753" w:rsidRPr="005D1753">
        <w:rPr>
          <w:rFonts w:ascii="Arial" w:hAnsi="Arial" w:cs="Arial"/>
          <w:sz w:val="24"/>
          <w:szCs w:val="24"/>
        </w:rPr>
        <w:t xml:space="preserve">. </w:t>
      </w:r>
      <w:r w:rsidR="005D1753">
        <w:rPr>
          <w:rFonts w:ascii="Arial" w:hAnsi="Arial" w:cs="Arial"/>
          <w:sz w:val="24"/>
          <w:szCs w:val="24"/>
        </w:rPr>
        <w:t xml:space="preserve">Soluble epoxide hydrolase inhibitors block </w:t>
      </w:r>
      <w:r w:rsidR="00A75D31">
        <w:rPr>
          <w:rFonts w:ascii="Arial" w:hAnsi="Arial" w:cs="Arial"/>
          <w:sz w:val="24"/>
          <w:szCs w:val="24"/>
        </w:rPr>
        <w:t xml:space="preserve">an enzyme in the </w:t>
      </w:r>
      <w:r w:rsidR="005F7139">
        <w:rPr>
          <w:rFonts w:ascii="Arial" w:hAnsi="Arial" w:cs="Arial"/>
          <w:sz w:val="24"/>
          <w:szCs w:val="24"/>
        </w:rPr>
        <w:t>CYP 450</w:t>
      </w:r>
      <w:r w:rsidR="00A75D31">
        <w:rPr>
          <w:rFonts w:ascii="Arial" w:hAnsi="Arial" w:cs="Arial"/>
          <w:sz w:val="24"/>
          <w:szCs w:val="24"/>
        </w:rPr>
        <w:t xml:space="preserve"> pathway</w:t>
      </w:r>
      <w:r w:rsidR="005F7139">
        <w:rPr>
          <w:rFonts w:ascii="Arial" w:hAnsi="Arial" w:cs="Arial"/>
          <w:sz w:val="24"/>
          <w:szCs w:val="24"/>
        </w:rPr>
        <w:t xml:space="preserve"> </w:t>
      </w:r>
      <w:r w:rsidR="00A75D31">
        <w:rPr>
          <w:rFonts w:ascii="Arial" w:hAnsi="Arial" w:cs="Arial"/>
          <w:sz w:val="24"/>
          <w:szCs w:val="24"/>
        </w:rPr>
        <w:t xml:space="preserve">to inhibit the conversion of anti-inflammatory molecules, epoxides, into pro-inflammatory molecules, diols. </w:t>
      </w:r>
    </w:p>
    <w:p w14:paraId="6EE617C1" w14:textId="775080D6" w:rsidR="005F7139" w:rsidRPr="004B7F9B" w:rsidRDefault="001C6995" w:rsidP="00246D22">
      <w:pPr>
        <w:spacing w:line="240" w:lineRule="auto"/>
        <w:rPr>
          <w:rFonts w:ascii="Arial" w:hAnsi="Arial" w:cs="Arial"/>
          <w:sz w:val="24"/>
          <w:szCs w:val="24"/>
        </w:rPr>
      </w:pPr>
      <w:r>
        <w:rPr>
          <w:rFonts w:ascii="Arial" w:hAnsi="Arial" w:cs="Arial"/>
          <w:sz w:val="24"/>
          <w:szCs w:val="24"/>
        </w:rPr>
        <w:t>The previously completed parent study</w:t>
      </w:r>
      <w:r w:rsidR="00A75D31">
        <w:rPr>
          <w:rFonts w:ascii="Arial" w:hAnsi="Arial" w:cs="Arial"/>
          <w:sz w:val="24"/>
          <w:szCs w:val="24"/>
        </w:rPr>
        <w:t xml:space="preserve"> of this current </w:t>
      </w:r>
      <w:r>
        <w:rPr>
          <w:rFonts w:ascii="Arial" w:hAnsi="Arial" w:cs="Arial"/>
          <w:sz w:val="24"/>
          <w:szCs w:val="24"/>
        </w:rPr>
        <w:t xml:space="preserve">secondary </w:t>
      </w:r>
      <w:r w:rsidR="00A75D31">
        <w:rPr>
          <w:rFonts w:ascii="Arial" w:hAnsi="Arial" w:cs="Arial"/>
          <w:sz w:val="24"/>
          <w:szCs w:val="24"/>
        </w:rPr>
        <w:t xml:space="preserve">study found that the </w:t>
      </w:r>
      <w:proofErr w:type="spellStart"/>
      <w:r w:rsidR="00A75D31">
        <w:rPr>
          <w:rFonts w:ascii="Arial" w:hAnsi="Arial" w:cs="Arial"/>
          <w:sz w:val="24"/>
          <w:szCs w:val="24"/>
        </w:rPr>
        <w:t>sEH</w:t>
      </w:r>
      <w:proofErr w:type="spellEnd"/>
      <w:r w:rsidR="00A75D31">
        <w:rPr>
          <w:rFonts w:ascii="Arial" w:hAnsi="Arial" w:cs="Arial"/>
          <w:sz w:val="24"/>
          <w:szCs w:val="24"/>
        </w:rPr>
        <w:t xml:space="preserve"> inhibitor, t-TUCB, </w:t>
      </w:r>
      <w:r>
        <w:rPr>
          <w:rFonts w:ascii="Arial" w:hAnsi="Arial" w:cs="Arial"/>
          <w:sz w:val="24"/>
          <w:szCs w:val="24"/>
        </w:rPr>
        <w:t xml:space="preserve">and a COX inhibitor, firocoxib, both individually and combined, </w:t>
      </w:r>
      <w:r w:rsidR="00A75D31">
        <w:rPr>
          <w:rFonts w:ascii="Arial" w:hAnsi="Arial" w:cs="Arial"/>
          <w:sz w:val="24"/>
          <w:szCs w:val="24"/>
        </w:rPr>
        <w:t>w</w:t>
      </w:r>
      <w:r>
        <w:rPr>
          <w:rFonts w:ascii="Arial" w:hAnsi="Arial" w:cs="Arial"/>
          <w:sz w:val="24"/>
          <w:szCs w:val="24"/>
        </w:rPr>
        <w:t>ere</w:t>
      </w:r>
      <w:r w:rsidR="00A75D31">
        <w:rPr>
          <w:rFonts w:ascii="Arial" w:hAnsi="Arial" w:cs="Arial"/>
          <w:sz w:val="24"/>
          <w:szCs w:val="24"/>
        </w:rPr>
        <w:t xml:space="preserve"> able to clinically improve lameness grades in horses with natural occurring </w:t>
      </w:r>
      <w:r w:rsidR="00A75D31" w:rsidRPr="00BF35FD">
        <w:rPr>
          <w:rFonts w:ascii="Arial" w:hAnsi="Arial" w:cs="Arial"/>
          <w:sz w:val="24"/>
          <w:szCs w:val="24"/>
        </w:rPr>
        <w:t>osteoarthritis</w:t>
      </w:r>
      <w:r w:rsidR="00246D22">
        <w:rPr>
          <w:rFonts w:ascii="Arial" w:hAnsi="Arial" w:cs="Arial"/>
          <w:sz w:val="24"/>
          <w:szCs w:val="24"/>
        </w:rPr>
        <w:t>.</w:t>
      </w:r>
      <w:r w:rsidR="003C2F1F" w:rsidRPr="00BF35FD">
        <w:rPr>
          <w:rFonts w:ascii="Arial" w:hAnsi="Arial" w:cs="Arial"/>
          <w:sz w:val="24"/>
          <w:szCs w:val="24"/>
        </w:rPr>
        <w:fldChar w:fldCharType="begin"/>
      </w:r>
      <w:r w:rsidR="00EF1AE2" w:rsidRPr="00BF35FD">
        <w:rPr>
          <w:rFonts w:ascii="Arial" w:hAnsi="Arial" w:cs="Arial"/>
          <w:sz w:val="24"/>
          <w:szCs w:val="24"/>
        </w:rPr>
        <w:instrText xml:space="preserve"> ADDIN EN.CITE &lt;EndNote&gt;&lt;Cite&gt;&lt;Author&gt;Brown&lt;/Author&gt;&lt;Year&gt;2024&lt;/Year&gt;&lt;RecNum&gt;775&lt;/RecNum&gt;&lt;DisplayText&gt;&lt;style face="superscript"&gt;3&lt;/style&gt;&lt;/DisplayText&gt;&lt;record&gt;&lt;rec-number&gt;775&lt;/rec-number&gt;&lt;foreign-keys&gt;&lt;key app="EN" db-id="5x9dzpvdn9ve5seeex6p2et8pe9p05detd00" timestamp="1754455633"&gt;775&lt;/key&gt;&lt;/foreign-keys&gt;&lt;ref-type name="Journal Article"&gt;17&lt;/ref-type&gt;&lt;contributors&gt;&lt;authors&gt;&lt;author&gt;Brown, C.&lt;/author&gt;&lt;author&gt;Carlson, A.&lt;/author&gt;&lt;author&gt;Hines, M.&lt;/author&gt;&lt;author&gt;Collar, E.&lt;/author&gt;&lt;/authors&gt;&lt;/contributors&gt;&lt;titles&gt;&lt;title&gt;Clinical Effect of Multidose Oral Administration of Firocoxib and t-TUCB Alone and in Combination for the Treatment of Naturally Occurring Osteoarthritis in Horses&lt;/title&gt;&lt;secondary-title&gt;Vet Comp Orthop Traumatol&lt;/secondary-title&gt;&lt;/titles&gt;&lt;periodical&gt;&lt;full-title&gt;Vet Comp Orthop Traumatol&lt;/full-title&gt;&lt;abbr-1&gt;Veterinary and comparative orthopaedics and traumatology : V.C.O.T&lt;/abbr-1&gt;&lt;/periodical&gt;&lt;pages&gt;A038&lt;/pages&gt;&lt;volume&gt;37&lt;/volume&gt;&lt;number&gt;05&lt;/number&gt;&lt;dates&gt;&lt;year&gt;2024&lt;/year&gt;&lt;pub-dates&gt;&lt;date&gt;2024/09/16&lt;/date&gt;&lt;/pub-dates&gt;&lt;/dates&gt;&lt;publisher&gt;Georg Thieme Verlag KG&lt;/publisher&gt;&lt;isbn&gt;0932-0814&amp;#xD;2567-6911&lt;/isbn&gt;&lt;urls&gt;&lt;related-urls&gt;&lt;url&gt;http://www.thieme-connect.com/products/ejournals/abstract/10.1055/s-0044-1791323&lt;/url&gt;&lt;/related-urls&gt;&lt;/urls&gt;&lt;electronic-resource-num&gt;10.1055/s-0044-1791323&lt;/electronic-resource-num&gt;&lt;language&gt;En&lt;/language&gt;&lt;/record&gt;&lt;/Cite&gt;&lt;/EndNote&gt;</w:instrText>
      </w:r>
      <w:r w:rsidR="003C2F1F" w:rsidRPr="00BF35FD">
        <w:rPr>
          <w:rFonts w:ascii="Arial" w:hAnsi="Arial" w:cs="Arial"/>
          <w:sz w:val="24"/>
          <w:szCs w:val="24"/>
        </w:rPr>
        <w:fldChar w:fldCharType="separate"/>
      </w:r>
      <w:r w:rsidR="00EF1AE2" w:rsidRPr="00BF35FD">
        <w:rPr>
          <w:rFonts w:ascii="Arial" w:hAnsi="Arial" w:cs="Arial"/>
          <w:noProof/>
          <w:sz w:val="24"/>
          <w:szCs w:val="24"/>
          <w:vertAlign w:val="superscript"/>
        </w:rPr>
        <w:t>3</w:t>
      </w:r>
      <w:r w:rsidR="003C2F1F" w:rsidRPr="00BF35FD">
        <w:rPr>
          <w:rFonts w:ascii="Arial" w:hAnsi="Arial" w:cs="Arial"/>
          <w:sz w:val="24"/>
          <w:szCs w:val="24"/>
        </w:rPr>
        <w:fldChar w:fldCharType="end"/>
      </w:r>
      <w:r w:rsidR="00246D22">
        <w:rPr>
          <w:rFonts w:ascii="Arial" w:hAnsi="Arial" w:cs="Arial"/>
          <w:sz w:val="24"/>
          <w:szCs w:val="24"/>
        </w:rPr>
        <w:t xml:space="preserve"> </w:t>
      </w:r>
      <w:r w:rsidR="005D1753" w:rsidRPr="005D1753">
        <w:rPr>
          <w:rFonts w:ascii="Arial" w:hAnsi="Arial" w:cs="Arial"/>
          <w:sz w:val="24"/>
          <w:szCs w:val="24"/>
        </w:rPr>
        <w:t xml:space="preserve">The </w:t>
      </w:r>
      <w:r w:rsidR="00702D03">
        <w:rPr>
          <w:rFonts w:ascii="Arial" w:hAnsi="Arial" w:cs="Arial"/>
          <w:sz w:val="24"/>
          <w:szCs w:val="24"/>
        </w:rPr>
        <w:t>objective</w:t>
      </w:r>
      <w:r w:rsidR="00702D03" w:rsidRPr="005D1753">
        <w:rPr>
          <w:rFonts w:ascii="Arial" w:hAnsi="Arial" w:cs="Arial"/>
          <w:sz w:val="24"/>
          <w:szCs w:val="24"/>
        </w:rPr>
        <w:t xml:space="preserve"> </w:t>
      </w:r>
      <w:r w:rsidR="005D1753" w:rsidRPr="005D1753">
        <w:rPr>
          <w:rFonts w:ascii="Arial" w:hAnsi="Arial" w:cs="Arial"/>
          <w:sz w:val="24"/>
          <w:szCs w:val="24"/>
        </w:rPr>
        <w:t xml:space="preserve">of this study </w:t>
      </w:r>
      <w:r w:rsidR="00F4536D">
        <w:rPr>
          <w:rFonts w:ascii="Arial" w:hAnsi="Arial" w:cs="Arial"/>
          <w:sz w:val="24"/>
          <w:szCs w:val="24"/>
        </w:rPr>
        <w:t>wa</w:t>
      </w:r>
      <w:r w:rsidR="005D1753" w:rsidRPr="005D1753">
        <w:rPr>
          <w:rFonts w:ascii="Arial" w:hAnsi="Arial" w:cs="Arial"/>
          <w:sz w:val="24"/>
          <w:szCs w:val="24"/>
        </w:rPr>
        <w:t xml:space="preserve">s to determine potential disease modifying effects of the </w:t>
      </w:r>
      <w:proofErr w:type="spellStart"/>
      <w:r w:rsidR="005D1753" w:rsidRPr="005D1753">
        <w:rPr>
          <w:rFonts w:ascii="Arial" w:hAnsi="Arial" w:cs="Arial"/>
          <w:sz w:val="24"/>
          <w:szCs w:val="24"/>
        </w:rPr>
        <w:t>sEH</w:t>
      </w:r>
      <w:proofErr w:type="spellEnd"/>
      <w:r w:rsidR="005D1753" w:rsidRPr="005D1753">
        <w:rPr>
          <w:rFonts w:ascii="Arial" w:hAnsi="Arial" w:cs="Arial"/>
          <w:sz w:val="24"/>
          <w:szCs w:val="24"/>
        </w:rPr>
        <w:t xml:space="preserve"> inhibitor, t-TUCB, alone and in combination with the NSAID, firocoxib in horses with naturally occurring osteoarthritis</w:t>
      </w:r>
      <w:r w:rsidR="00296B45">
        <w:rPr>
          <w:rFonts w:ascii="Arial" w:hAnsi="Arial" w:cs="Arial"/>
          <w:sz w:val="24"/>
          <w:szCs w:val="24"/>
        </w:rPr>
        <w:t xml:space="preserve"> </w:t>
      </w:r>
      <w:r w:rsidR="002B1021">
        <w:rPr>
          <w:rFonts w:ascii="Arial" w:hAnsi="Arial" w:cs="Arial"/>
          <w:sz w:val="24"/>
          <w:szCs w:val="24"/>
        </w:rPr>
        <w:t>by analyzing</w:t>
      </w:r>
      <w:r w:rsidR="00296B45">
        <w:rPr>
          <w:rFonts w:ascii="Arial" w:hAnsi="Arial" w:cs="Arial"/>
          <w:sz w:val="24"/>
          <w:szCs w:val="24"/>
        </w:rPr>
        <w:t xml:space="preserve"> </w:t>
      </w:r>
      <w:r w:rsidR="005D1753" w:rsidRPr="005D1753">
        <w:rPr>
          <w:rFonts w:ascii="Arial" w:hAnsi="Arial" w:cs="Arial"/>
          <w:sz w:val="24"/>
          <w:szCs w:val="24"/>
        </w:rPr>
        <w:t xml:space="preserve">levels </w:t>
      </w:r>
      <w:r w:rsidR="00795BD7">
        <w:rPr>
          <w:rFonts w:ascii="Arial" w:hAnsi="Arial" w:cs="Arial"/>
          <w:sz w:val="24"/>
          <w:szCs w:val="24"/>
        </w:rPr>
        <w:t>of</w:t>
      </w:r>
      <w:r w:rsidR="005D1753" w:rsidRPr="005D1753">
        <w:rPr>
          <w:rFonts w:ascii="Arial" w:hAnsi="Arial" w:cs="Arial"/>
          <w:sz w:val="24"/>
          <w:szCs w:val="24"/>
        </w:rPr>
        <w:t xml:space="preserve"> </w:t>
      </w:r>
      <w:r w:rsidR="002B1021">
        <w:rPr>
          <w:rFonts w:ascii="Arial" w:hAnsi="Arial" w:cs="Arial"/>
          <w:sz w:val="24"/>
          <w:szCs w:val="24"/>
        </w:rPr>
        <w:t>synovial fluid PGE</w:t>
      </w:r>
      <w:r w:rsidR="002B1021" w:rsidRPr="00305C34">
        <w:rPr>
          <w:rFonts w:ascii="Arial" w:hAnsi="Arial" w:cs="Arial"/>
          <w:sz w:val="24"/>
          <w:szCs w:val="24"/>
          <w:vertAlign w:val="subscript"/>
        </w:rPr>
        <w:t>2</w:t>
      </w:r>
      <w:r w:rsidR="002B1021">
        <w:rPr>
          <w:rFonts w:ascii="Arial" w:hAnsi="Arial" w:cs="Arial"/>
          <w:sz w:val="24"/>
          <w:szCs w:val="24"/>
        </w:rPr>
        <w:t xml:space="preserve"> and bone biomarkers, a</w:t>
      </w:r>
      <w:r w:rsidR="00F4536D">
        <w:rPr>
          <w:rFonts w:ascii="Arial" w:hAnsi="Arial" w:cs="Arial"/>
          <w:sz w:val="24"/>
          <w:szCs w:val="24"/>
        </w:rPr>
        <w:t>s well as</w:t>
      </w:r>
      <w:r w:rsidR="002B1021">
        <w:rPr>
          <w:rFonts w:ascii="Arial" w:hAnsi="Arial" w:cs="Arial"/>
          <w:sz w:val="24"/>
          <w:szCs w:val="24"/>
        </w:rPr>
        <w:t xml:space="preserve"> plasma and synovial fluid </w:t>
      </w:r>
      <w:r w:rsidR="005D1753" w:rsidRPr="005D1753">
        <w:rPr>
          <w:rFonts w:ascii="Arial" w:hAnsi="Arial" w:cs="Arial"/>
          <w:sz w:val="24"/>
          <w:szCs w:val="24"/>
        </w:rPr>
        <w:t>oxylipins.</w:t>
      </w:r>
      <w:r w:rsidR="00795BD7">
        <w:rPr>
          <w:rFonts w:ascii="Arial" w:hAnsi="Arial" w:cs="Arial"/>
          <w:sz w:val="24"/>
          <w:szCs w:val="24"/>
        </w:rPr>
        <w:t xml:space="preserve"> </w:t>
      </w:r>
      <w:r w:rsidR="005F7139">
        <w:rPr>
          <w:rFonts w:ascii="Arial" w:hAnsi="Arial" w:cs="Arial"/>
          <w:sz w:val="24"/>
          <w:szCs w:val="24"/>
        </w:rPr>
        <w:t xml:space="preserve">We hypothesize that </w:t>
      </w:r>
      <w:r w:rsidR="00795BD7">
        <w:rPr>
          <w:rFonts w:ascii="Arial" w:hAnsi="Arial" w:cs="Arial"/>
          <w:sz w:val="24"/>
          <w:szCs w:val="24"/>
        </w:rPr>
        <w:t xml:space="preserve">treatments with both </w:t>
      </w:r>
      <w:r w:rsidR="005F7139" w:rsidRPr="005F7139">
        <w:rPr>
          <w:rFonts w:ascii="Arial" w:hAnsi="Arial" w:cs="Arial"/>
          <w:sz w:val="24"/>
          <w:szCs w:val="24"/>
        </w:rPr>
        <w:t xml:space="preserve">Firocoxib </w:t>
      </w:r>
      <w:r w:rsidR="00795BD7">
        <w:rPr>
          <w:rFonts w:ascii="Arial" w:hAnsi="Arial" w:cs="Arial"/>
          <w:sz w:val="24"/>
          <w:szCs w:val="24"/>
        </w:rPr>
        <w:t>and</w:t>
      </w:r>
      <w:r w:rsidR="005F7139" w:rsidRPr="005F7139">
        <w:rPr>
          <w:rFonts w:ascii="Arial" w:hAnsi="Arial" w:cs="Arial"/>
          <w:sz w:val="24"/>
          <w:szCs w:val="24"/>
        </w:rPr>
        <w:t xml:space="preserve"> t-TUCB will </w:t>
      </w:r>
      <w:r w:rsidR="005F7139">
        <w:rPr>
          <w:rFonts w:ascii="Arial" w:hAnsi="Arial" w:cs="Arial"/>
          <w:sz w:val="24"/>
          <w:szCs w:val="24"/>
        </w:rPr>
        <w:t>decrease</w:t>
      </w:r>
      <w:r w:rsidR="005F7139" w:rsidRPr="005F7139">
        <w:rPr>
          <w:rFonts w:ascii="Arial" w:hAnsi="Arial" w:cs="Arial"/>
          <w:sz w:val="24"/>
          <w:szCs w:val="24"/>
        </w:rPr>
        <w:t xml:space="preserve"> marker</w:t>
      </w:r>
      <w:r w:rsidR="005F7139">
        <w:rPr>
          <w:rFonts w:ascii="Arial" w:hAnsi="Arial" w:cs="Arial"/>
          <w:sz w:val="24"/>
          <w:szCs w:val="24"/>
        </w:rPr>
        <w:t>s</w:t>
      </w:r>
      <w:r w:rsidR="005F7139" w:rsidRPr="005F7139">
        <w:rPr>
          <w:rFonts w:ascii="Arial" w:hAnsi="Arial" w:cs="Arial"/>
          <w:sz w:val="24"/>
          <w:szCs w:val="24"/>
        </w:rPr>
        <w:t xml:space="preserve"> of inflammation</w:t>
      </w:r>
      <w:r w:rsidR="006A7E42">
        <w:rPr>
          <w:rFonts w:ascii="Arial" w:hAnsi="Arial" w:cs="Arial"/>
          <w:sz w:val="24"/>
          <w:szCs w:val="24"/>
        </w:rPr>
        <w:t xml:space="preserve"> and</w:t>
      </w:r>
      <w:r w:rsidR="005F7139" w:rsidRPr="005F7139">
        <w:rPr>
          <w:rFonts w:ascii="Arial" w:hAnsi="Arial" w:cs="Arial"/>
          <w:sz w:val="24"/>
          <w:szCs w:val="24"/>
        </w:rPr>
        <w:t xml:space="preserve"> have minimal effect on </w:t>
      </w:r>
      <w:r w:rsidR="0004071E" w:rsidRPr="005F7139">
        <w:rPr>
          <w:rFonts w:ascii="Arial" w:hAnsi="Arial" w:cs="Arial"/>
          <w:sz w:val="24"/>
          <w:szCs w:val="24"/>
        </w:rPr>
        <w:t>bone</w:t>
      </w:r>
      <w:r w:rsidR="00A75D31">
        <w:rPr>
          <w:rFonts w:ascii="Arial" w:hAnsi="Arial" w:cs="Arial"/>
          <w:sz w:val="24"/>
          <w:szCs w:val="24"/>
        </w:rPr>
        <w:t>.</w:t>
      </w:r>
      <w:r w:rsidR="00795BD7">
        <w:rPr>
          <w:rFonts w:ascii="Arial" w:hAnsi="Arial" w:cs="Arial"/>
          <w:sz w:val="24"/>
          <w:szCs w:val="24"/>
        </w:rPr>
        <w:t xml:space="preserve"> Additionally, we expect that treatment with t-TUCB will increase levels of epoxides and decrease levels of diols.</w:t>
      </w:r>
    </w:p>
    <w:p w14:paraId="70E23B63" w14:textId="7C24ADDB" w:rsidR="00F31763" w:rsidRPr="004B7F9B" w:rsidRDefault="00531CC2" w:rsidP="00246D22">
      <w:pPr>
        <w:spacing w:line="240" w:lineRule="auto"/>
        <w:rPr>
          <w:rFonts w:ascii="Arial" w:hAnsi="Arial" w:cs="Arial"/>
          <w:sz w:val="24"/>
          <w:szCs w:val="24"/>
        </w:rPr>
      </w:pPr>
      <w:r w:rsidRPr="004E2CD8">
        <w:rPr>
          <w:rFonts w:ascii="Arial" w:hAnsi="Arial" w:cs="Arial"/>
          <w:b/>
          <w:bCs/>
          <w:sz w:val="24"/>
          <w:szCs w:val="24"/>
        </w:rPr>
        <w:t>Study Design:</w:t>
      </w:r>
      <w:r w:rsidR="00832766">
        <w:rPr>
          <w:rFonts w:ascii="Arial" w:hAnsi="Arial" w:cs="Arial"/>
          <w:b/>
          <w:bCs/>
          <w:sz w:val="24"/>
          <w:szCs w:val="24"/>
        </w:rPr>
        <w:t xml:space="preserve"> </w:t>
      </w:r>
      <w:r w:rsidR="00832766" w:rsidRPr="00832766">
        <w:rPr>
          <w:rFonts w:ascii="Arial" w:hAnsi="Arial" w:cs="Arial"/>
          <w:sz w:val="24"/>
          <w:szCs w:val="24"/>
        </w:rPr>
        <w:t xml:space="preserve">A 3-way crossover study with a 14-day washout period was performed </w:t>
      </w:r>
      <w:r w:rsidR="00D53E8C">
        <w:rPr>
          <w:rFonts w:ascii="Arial" w:hAnsi="Arial" w:cs="Arial"/>
          <w:sz w:val="24"/>
          <w:szCs w:val="24"/>
        </w:rPr>
        <w:t>utilizing</w:t>
      </w:r>
      <w:r w:rsidR="00D53E8C" w:rsidRPr="00832766">
        <w:rPr>
          <w:rFonts w:ascii="Arial" w:hAnsi="Arial" w:cs="Arial"/>
          <w:sz w:val="24"/>
          <w:szCs w:val="24"/>
        </w:rPr>
        <w:t xml:space="preserve"> </w:t>
      </w:r>
      <w:r w:rsidR="00832766" w:rsidRPr="00832766">
        <w:rPr>
          <w:rFonts w:ascii="Arial" w:hAnsi="Arial" w:cs="Arial"/>
          <w:sz w:val="24"/>
          <w:szCs w:val="24"/>
        </w:rPr>
        <w:t xml:space="preserve">6 horses </w:t>
      </w:r>
      <w:r w:rsidR="00562719">
        <w:rPr>
          <w:rFonts w:ascii="Arial" w:hAnsi="Arial" w:cs="Arial"/>
          <w:sz w:val="24"/>
          <w:szCs w:val="24"/>
        </w:rPr>
        <w:t xml:space="preserve">with naturally occurring osteoarthritis (Fig 1) </w:t>
      </w:r>
      <w:r w:rsidR="00832766" w:rsidRPr="00832766">
        <w:rPr>
          <w:rFonts w:ascii="Arial" w:hAnsi="Arial" w:cs="Arial"/>
          <w:sz w:val="24"/>
          <w:szCs w:val="24"/>
        </w:rPr>
        <w:t xml:space="preserve">administered a 10-day course of the 3 treatments: firocoxib (57 mg/day), t-TUCB (500 mg/day), or firocoxib (28.5 mg/day) with t-TUCB (500 mg/day). </w:t>
      </w:r>
      <w:r w:rsidR="00832766">
        <w:rPr>
          <w:rFonts w:ascii="Arial" w:hAnsi="Arial" w:cs="Arial"/>
          <w:sz w:val="24"/>
          <w:szCs w:val="24"/>
        </w:rPr>
        <w:t>Plasma and synovial fluid samples were collected b</w:t>
      </w:r>
      <w:r w:rsidR="00832766" w:rsidRPr="00832766">
        <w:rPr>
          <w:rFonts w:ascii="Arial" w:hAnsi="Arial" w:cs="Arial"/>
          <w:sz w:val="24"/>
          <w:szCs w:val="24"/>
        </w:rPr>
        <w:t>efore and after each treatment</w:t>
      </w:r>
      <w:r w:rsidR="00832766">
        <w:rPr>
          <w:rFonts w:ascii="Arial" w:hAnsi="Arial" w:cs="Arial"/>
          <w:sz w:val="24"/>
          <w:szCs w:val="24"/>
        </w:rPr>
        <w:t>.</w:t>
      </w:r>
      <w:r w:rsidR="00832766" w:rsidRPr="00832766">
        <w:rPr>
          <w:rFonts w:ascii="Arial" w:hAnsi="Arial" w:cs="Arial"/>
          <w:sz w:val="24"/>
          <w:szCs w:val="24"/>
        </w:rPr>
        <w:t xml:space="preserve"> </w:t>
      </w:r>
      <w:r w:rsidR="00562719">
        <w:rPr>
          <w:rFonts w:ascii="Arial" w:hAnsi="Arial" w:cs="Arial"/>
          <w:sz w:val="24"/>
          <w:szCs w:val="24"/>
        </w:rPr>
        <w:t xml:space="preserve">Commercial </w:t>
      </w:r>
      <w:r w:rsidR="00832766" w:rsidRPr="00832766">
        <w:rPr>
          <w:rFonts w:ascii="Arial" w:hAnsi="Arial" w:cs="Arial"/>
          <w:sz w:val="24"/>
          <w:szCs w:val="24"/>
        </w:rPr>
        <w:t>ELISA</w:t>
      </w:r>
      <w:r w:rsidR="00832766">
        <w:rPr>
          <w:rFonts w:ascii="Arial" w:hAnsi="Arial" w:cs="Arial"/>
          <w:sz w:val="24"/>
          <w:szCs w:val="24"/>
        </w:rPr>
        <w:t>s</w:t>
      </w:r>
      <w:r w:rsidR="00832766" w:rsidRPr="00832766">
        <w:rPr>
          <w:rFonts w:ascii="Arial" w:hAnsi="Arial" w:cs="Arial"/>
          <w:sz w:val="24"/>
          <w:szCs w:val="24"/>
        </w:rPr>
        <w:t xml:space="preserve"> </w:t>
      </w:r>
      <w:r w:rsidR="00832766">
        <w:rPr>
          <w:rFonts w:ascii="Arial" w:hAnsi="Arial" w:cs="Arial"/>
          <w:sz w:val="24"/>
          <w:szCs w:val="24"/>
        </w:rPr>
        <w:t xml:space="preserve">were performed </w:t>
      </w:r>
      <w:r w:rsidR="00832766" w:rsidRPr="00832766">
        <w:rPr>
          <w:rFonts w:ascii="Arial" w:hAnsi="Arial" w:cs="Arial"/>
          <w:sz w:val="24"/>
          <w:szCs w:val="24"/>
        </w:rPr>
        <w:t xml:space="preserve">to measure </w:t>
      </w:r>
      <w:r w:rsidR="00562719">
        <w:rPr>
          <w:rFonts w:ascii="Arial" w:hAnsi="Arial" w:cs="Arial"/>
          <w:sz w:val="24"/>
          <w:szCs w:val="24"/>
        </w:rPr>
        <w:t xml:space="preserve">synovial fluid </w:t>
      </w:r>
      <w:r w:rsidR="00832766" w:rsidRPr="00832766">
        <w:rPr>
          <w:rFonts w:ascii="Arial" w:hAnsi="Arial" w:cs="Arial"/>
          <w:sz w:val="24"/>
          <w:szCs w:val="24"/>
        </w:rPr>
        <w:t xml:space="preserve">concentrations of </w:t>
      </w:r>
      <w:r w:rsidR="001E6DD2">
        <w:rPr>
          <w:rFonts w:ascii="Arial" w:hAnsi="Arial" w:cs="Arial"/>
          <w:sz w:val="24"/>
          <w:szCs w:val="24"/>
        </w:rPr>
        <w:t>PGE</w:t>
      </w:r>
      <w:r w:rsidR="001E6DD2" w:rsidRPr="00305C34">
        <w:rPr>
          <w:rFonts w:ascii="Arial" w:hAnsi="Arial" w:cs="Arial"/>
          <w:sz w:val="24"/>
          <w:szCs w:val="24"/>
          <w:vertAlign w:val="subscript"/>
        </w:rPr>
        <w:t>2</w:t>
      </w:r>
      <w:r w:rsidR="001E6DD2">
        <w:rPr>
          <w:rFonts w:ascii="Arial" w:hAnsi="Arial" w:cs="Arial"/>
          <w:sz w:val="24"/>
          <w:szCs w:val="24"/>
        </w:rPr>
        <w:t xml:space="preserve"> </w:t>
      </w:r>
      <w:r w:rsidR="00832766" w:rsidRPr="00832766">
        <w:rPr>
          <w:rFonts w:ascii="Arial" w:hAnsi="Arial" w:cs="Arial"/>
          <w:sz w:val="24"/>
          <w:szCs w:val="24"/>
        </w:rPr>
        <w:t xml:space="preserve">and biomarkers of bone </w:t>
      </w:r>
      <w:r w:rsidR="00562719">
        <w:rPr>
          <w:rFonts w:ascii="Arial" w:hAnsi="Arial" w:cs="Arial"/>
          <w:sz w:val="24"/>
          <w:szCs w:val="24"/>
        </w:rPr>
        <w:t xml:space="preserve">formation </w:t>
      </w:r>
      <w:r w:rsidR="001E6DD2">
        <w:rPr>
          <w:rFonts w:ascii="Arial" w:hAnsi="Arial" w:cs="Arial"/>
          <w:sz w:val="24"/>
          <w:szCs w:val="24"/>
        </w:rPr>
        <w:t>(Osteocalcin</w:t>
      </w:r>
      <w:r w:rsidR="00562719">
        <w:rPr>
          <w:rFonts w:ascii="Arial" w:hAnsi="Arial" w:cs="Arial"/>
          <w:sz w:val="24"/>
          <w:szCs w:val="24"/>
        </w:rPr>
        <w:t>) and resorption</w:t>
      </w:r>
      <w:r w:rsidR="001E6DD2">
        <w:rPr>
          <w:rFonts w:ascii="Arial" w:hAnsi="Arial" w:cs="Arial"/>
          <w:sz w:val="24"/>
          <w:szCs w:val="24"/>
        </w:rPr>
        <w:t xml:space="preserve"> </w:t>
      </w:r>
      <w:r w:rsidR="00562719">
        <w:rPr>
          <w:rFonts w:ascii="Arial" w:hAnsi="Arial" w:cs="Arial"/>
          <w:sz w:val="24"/>
          <w:szCs w:val="24"/>
        </w:rPr>
        <w:t>(</w:t>
      </w:r>
      <w:r w:rsidR="001E6DD2">
        <w:rPr>
          <w:rFonts w:ascii="Arial" w:hAnsi="Arial" w:cs="Arial"/>
          <w:sz w:val="24"/>
          <w:szCs w:val="24"/>
        </w:rPr>
        <w:t>CTX-1)</w:t>
      </w:r>
      <w:r w:rsidR="00832766" w:rsidRPr="00832766">
        <w:rPr>
          <w:rFonts w:ascii="Arial" w:hAnsi="Arial" w:cs="Arial"/>
          <w:sz w:val="24"/>
          <w:szCs w:val="24"/>
        </w:rPr>
        <w:t xml:space="preserve">. </w:t>
      </w:r>
      <w:r w:rsidR="001E6DD2">
        <w:rPr>
          <w:rFonts w:ascii="Arial" w:hAnsi="Arial" w:cs="Arial"/>
          <w:sz w:val="24"/>
          <w:szCs w:val="24"/>
        </w:rPr>
        <w:t xml:space="preserve">Ultra-high performance liquid chromatography with tandem mass spectrometry was used to analyze the levels of </w:t>
      </w:r>
      <w:r w:rsidR="006D426E">
        <w:rPr>
          <w:rFonts w:ascii="Arial" w:hAnsi="Arial" w:cs="Arial"/>
          <w:sz w:val="24"/>
          <w:szCs w:val="24"/>
        </w:rPr>
        <w:t>58 plasma and 86 synovial fluid oxylipins</w:t>
      </w:r>
      <w:r w:rsidR="002F56D7">
        <w:rPr>
          <w:rFonts w:ascii="Arial" w:hAnsi="Arial" w:cs="Arial"/>
          <w:sz w:val="24"/>
          <w:szCs w:val="24"/>
        </w:rPr>
        <w:t xml:space="preserve"> (</w:t>
      </w:r>
      <w:r w:rsidR="00562719">
        <w:rPr>
          <w:rFonts w:ascii="Arial" w:hAnsi="Arial" w:cs="Arial"/>
          <w:sz w:val="24"/>
          <w:szCs w:val="24"/>
        </w:rPr>
        <w:t>Fig 2</w:t>
      </w:r>
      <w:r w:rsidR="002F56D7">
        <w:rPr>
          <w:rFonts w:ascii="Arial" w:hAnsi="Arial" w:cs="Arial"/>
          <w:sz w:val="24"/>
          <w:szCs w:val="24"/>
        </w:rPr>
        <w:t>)</w:t>
      </w:r>
      <w:r w:rsidR="001E6DD2">
        <w:rPr>
          <w:rFonts w:ascii="Arial" w:hAnsi="Arial" w:cs="Arial"/>
          <w:sz w:val="24"/>
          <w:szCs w:val="24"/>
        </w:rPr>
        <w:t xml:space="preserve">. </w:t>
      </w:r>
      <w:r w:rsidR="00832766" w:rsidRPr="00832766">
        <w:rPr>
          <w:rFonts w:ascii="Arial" w:hAnsi="Arial" w:cs="Arial"/>
          <w:sz w:val="24"/>
          <w:szCs w:val="24"/>
        </w:rPr>
        <w:t xml:space="preserve">Results were analyzed using a mixed-model analysis of variance (ANOVA) and Tukey-Kramer adjustments </w:t>
      </w:r>
      <w:r w:rsidR="00792280">
        <w:rPr>
          <w:rFonts w:ascii="Arial" w:hAnsi="Arial" w:cs="Arial"/>
          <w:sz w:val="24"/>
          <w:szCs w:val="24"/>
        </w:rPr>
        <w:t>with significance set at p≤0.05</w:t>
      </w:r>
      <w:r w:rsidR="00832766" w:rsidRPr="00832766">
        <w:rPr>
          <w:rFonts w:ascii="Arial" w:hAnsi="Arial" w:cs="Arial"/>
          <w:sz w:val="24"/>
          <w:szCs w:val="24"/>
        </w:rPr>
        <w:t>.</w:t>
      </w:r>
    </w:p>
    <w:p w14:paraId="500F4D3A" w14:textId="359AD48F" w:rsidR="00047CA1" w:rsidRPr="008E13CC" w:rsidRDefault="00531CC2" w:rsidP="00246D22">
      <w:pPr>
        <w:spacing w:line="240" w:lineRule="auto"/>
        <w:rPr>
          <w:rFonts w:ascii="Arial" w:hAnsi="Arial" w:cs="Arial"/>
          <w:sz w:val="24"/>
          <w:szCs w:val="24"/>
        </w:rPr>
      </w:pPr>
      <w:r w:rsidRPr="004E2CD8">
        <w:rPr>
          <w:rFonts w:ascii="Arial" w:hAnsi="Arial" w:cs="Arial"/>
          <w:b/>
          <w:bCs/>
          <w:sz w:val="24"/>
          <w:szCs w:val="24"/>
        </w:rPr>
        <w:t>Results:</w:t>
      </w:r>
      <w:r w:rsidR="00F31763" w:rsidRPr="004B7F9B">
        <w:rPr>
          <w:rFonts w:ascii="Arial" w:hAnsi="Arial" w:cs="Arial"/>
          <w:sz w:val="24"/>
          <w:szCs w:val="24"/>
        </w:rPr>
        <w:t xml:space="preserve"> </w:t>
      </w:r>
      <w:r w:rsidR="00047CA1" w:rsidRPr="008E13CC">
        <w:rPr>
          <w:rFonts w:ascii="Arial" w:hAnsi="Arial" w:cs="Arial"/>
          <w:sz w:val="24"/>
          <w:szCs w:val="24"/>
        </w:rPr>
        <w:t>Synovial fluid markers of bone formation (Osteocalcin) and resorption</w:t>
      </w:r>
      <w:r w:rsidR="00047CA1">
        <w:rPr>
          <w:rFonts w:ascii="Arial" w:hAnsi="Arial" w:cs="Arial"/>
          <w:sz w:val="24"/>
          <w:szCs w:val="24"/>
        </w:rPr>
        <w:t xml:space="preserve"> </w:t>
      </w:r>
      <w:r w:rsidR="00047CA1" w:rsidRPr="008E13CC">
        <w:rPr>
          <w:rFonts w:ascii="Arial" w:hAnsi="Arial" w:cs="Arial"/>
          <w:sz w:val="24"/>
          <w:szCs w:val="24"/>
        </w:rPr>
        <w:t xml:space="preserve">(CTX-1) did not change with treatment or vary between treatments. </w:t>
      </w:r>
      <w:r w:rsidR="00047CA1" w:rsidRPr="00810199">
        <w:rPr>
          <w:rFonts w:ascii="Arial" w:hAnsi="Arial" w:cs="Arial"/>
          <w:sz w:val="24"/>
          <w:szCs w:val="24"/>
        </w:rPr>
        <w:t>Synovial fluid PGE</w:t>
      </w:r>
      <w:r w:rsidR="00047CA1" w:rsidRPr="00810199">
        <w:rPr>
          <w:rFonts w:ascii="Arial" w:hAnsi="Arial" w:cs="Arial"/>
          <w:sz w:val="24"/>
          <w:szCs w:val="24"/>
          <w:vertAlign w:val="subscript"/>
        </w:rPr>
        <w:t xml:space="preserve">2 </w:t>
      </w:r>
      <w:r w:rsidR="00047CA1" w:rsidRPr="00810199">
        <w:rPr>
          <w:rFonts w:ascii="Arial" w:hAnsi="Arial" w:cs="Arial"/>
          <w:sz w:val="24"/>
          <w:szCs w:val="24"/>
        </w:rPr>
        <w:t>decreased with all treatments (p=0.05)</w:t>
      </w:r>
      <w:r w:rsidR="00E475A9">
        <w:rPr>
          <w:rFonts w:ascii="Arial" w:hAnsi="Arial" w:cs="Arial"/>
          <w:sz w:val="24"/>
          <w:szCs w:val="24"/>
        </w:rPr>
        <w:t xml:space="preserve"> </w:t>
      </w:r>
      <w:r w:rsidR="00047CA1" w:rsidRPr="00810199">
        <w:rPr>
          <w:rFonts w:ascii="Arial" w:hAnsi="Arial" w:cs="Arial"/>
          <w:sz w:val="24"/>
          <w:szCs w:val="24"/>
        </w:rPr>
        <w:t xml:space="preserve">(Fig </w:t>
      </w:r>
      <w:r w:rsidR="00047CA1" w:rsidRPr="008E13CC">
        <w:rPr>
          <w:rFonts w:ascii="Arial" w:hAnsi="Arial" w:cs="Arial"/>
          <w:sz w:val="24"/>
          <w:szCs w:val="24"/>
        </w:rPr>
        <w:t>3</w:t>
      </w:r>
      <w:r w:rsidR="00047CA1" w:rsidRPr="00810199">
        <w:rPr>
          <w:rFonts w:ascii="Arial" w:hAnsi="Arial" w:cs="Arial"/>
          <w:sz w:val="24"/>
          <w:szCs w:val="24"/>
        </w:rPr>
        <w:t xml:space="preserve">). Overall, </w:t>
      </w:r>
      <w:r w:rsidR="00047CA1" w:rsidRPr="008E13CC">
        <w:rPr>
          <w:rFonts w:ascii="Arial" w:hAnsi="Arial" w:cs="Arial"/>
          <w:sz w:val="24"/>
          <w:szCs w:val="24"/>
        </w:rPr>
        <w:t>PGE</w:t>
      </w:r>
      <w:r w:rsidR="00047CA1" w:rsidRPr="00810199">
        <w:rPr>
          <w:rFonts w:ascii="Arial" w:hAnsi="Arial" w:cs="Arial"/>
          <w:sz w:val="24"/>
          <w:szCs w:val="24"/>
          <w:vertAlign w:val="subscript"/>
        </w:rPr>
        <w:t>2</w:t>
      </w:r>
      <w:r w:rsidR="00047CA1" w:rsidRPr="008E13CC">
        <w:rPr>
          <w:rFonts w:ascii="Arial" w:hAnsi="Arial" w:cs="Arial"/>
          <w:sz w:val="24"/>
          <w:szCs w:val="24"/>
        </w:rPr>
        <w:t xml:space="preserve"> </w:t>
      </w:r>
      <w:r w:rsidR="00047CA1" w:rsidRPr="00810199">
        <w:rPr>
          <w:rFonts w:ascii="Arial" w:hAnsi="Arial" w:cs="Arial"/>
          <w:sz w:val="24"/>
          <w:szCs w:val="24"/>
        </w:rPr>
        <w:t xml:space="preserve">was lower in synovial fluid </w:t>
      </w:r>
      <w:r w:rsidR="00047CA1" w:rsidRPr="008E13CC">
        <w:rPr>
          <w:rFonts w:ascii="Arial" w:hAnsi="Arial" w:cs="Arial"/>
          <w:sz w:val="24"/>
          <w:szCs w:val="24"/>
        </w:rPr>
        <w:t xml:space="preserve">during the firocoxib treatment phase (pre and post treatments together) </w:t>
      </w:r>
      <w:r w:rsidR="00047CA1" w:rsidRPr="00810199">
        <w:rPr>
          <w:rFonts w:ascii="Arial" w:hAnsi="Arial" w:cs="Arial"/>
          <w:sz w:val="24"/>
          <w:szCs w:val="24"/>
        </w:rPr>
        <w:t xml:space="preserve">when compared to </w:t>
      </w:r>
      <w:r w:rsidR="00640A32">
        <w:rPr>
          <w:rFonts w:ascii="Arial" w:hAnsi="Arial" w:cs="Arial"/>
          <w:sz w:val="24"/>
          <w:szCs w:val="24"/>
        </w:rPr>
        <w:t>t-</w:t>
      </w:r>
      <w:r w:rsidR="00047CA1" w:rsidRPr="00810199">
        <w:rPr>
          <w:rFonts w:ascii="Arial" w:hAnsi="Arial" w:cs="Arial"/>
          <w:sz w:val="24"/>
          <w:szCs w:val="24"/>
        </w:rPr>
        <w:t>TUCB (p=0.00</w:t>
      </w:r>
      <w:r w:rsidR="00047CA1" w:rsidRPr="008E13CC">
        <w:rPr>
          <w:rFonts w:ascii="Arial" w:hAnsi="Arial" w:cs="Arial"/>
          <w:sz w:val="24"/>
          <w:szCs w:val="24"/>
        </w:rPr>
        <w:t>6</w:t>
      </w:r>
      <w:r w:rsidR="00047CA1" w:rsidRPr="00810199">
        <w:rPr>
          <w:rFonts w:ascii="Arial" w:hAnsi="Arial" w:cs="Arial"/>
          <w:sz w:val="24"/>
          <w:szCs w:val="24"/>
        </w:rPr>
        <w:t>). One treatment did not decrease PGE</w:t>
      </w:r>
      <w:r w:rsidR="00047CA1" w:rsidRPr="00810199">
        <w:rPr>
          <w:rFonts w:ascii="Arial" w:hAnsi="Arial" w:cs="Arial"/>
          <w:sz w:val="24"/>
          <w:szCs w:val="24"/>
          <w:vertAlign w:val="subscript"/>
        </w:rPr>
        <w:t>2</w:t>
      </w:r>
      <w:r w:rsidR="00047CA1" w:rsidRPr="00810199">
        <w:rPr>
          <w:rFonts w:ascii="Arial" w:hAnsi="Arial" w:cs="Arial"/>
          <w:sz w:val="24"/>
          <w:szCs w:val="24"/>
        </w:rPr>
        <w:t xml:space="preserve"> more than another. </w:t>
      </w:r>
      <w:r w:rsidR="00047CA1" w:rsidRPr="008E13CC">
        <w:rPr>
          <w:rFonts w:ascii="Arial" w:hAnsi="Arial" w:cs="Arial"/>
          <w:sz w:val="24"/>
          <w:szCs w:val="24"/>
        </w:rPr>
        <w:t xml:space="preserve">Arthritis was present in 3/3 carpal joints, 2/3 </w:t>
      </w:r>
      <w:r w:rsidR="00047CA1">
        <w:rPr>
          <w:rFonts w:ascii="Arial" w:hAnsi="Arial" w:cs="Arial"/>
          <w:sz w:val="24"/>
          <w:szCs w:val="24"/>
        </w:rPr>
        <w:t>metacarpophalangeal</w:t>
      </w:r>
      <w:r w:rsidR="00047CA1" w:rsidRPr="008E13CC">
        <w:rPr>
          <w:rFonts w:ascii="Arial" w:hAnsi="Arial" w:cs="Arial"/>
          <w:sz w:val="24"/>
          <w:szCs w:val="24"/>
        </w:rPr>
        <w:t xml:space="preserve"> joints, and 2/6 tarsal joints</w:t>
      </w:r>
      <w:r w:rsidR="00562719">
        <w:rPr>
          <w:rFonts w:ascii="Arial" w:hAnsi="Arial" w:cs="Arial"/>
          <w:sz w:val="24"/>
          <w:szCs w:val="24"/>
        </w:rPr>
        <w:t xml:space="preserve"> sampled for analyses</w:t>
      </w:r>
      <w:r w:rsidR="00A143E2">
        <w:rPr>
          <w:rFonts w:ascii="Arial" w:hAnsi="Arial" w:cs="Arial"/>
          <w:sz w:val="24"/>
          <w:szCs w:val="24"/>
        </w:rPr>
        <w:t xml:space="preserve"> </w:t>
      </w:r>
      <w:r w:rsidR="00562719">
        <w:rPr>
          <w:rFonts w:ascii="Arial" w:hAnsi="Arial" w:cs="Arial"/>
          <w:sz w:val="24"/>
          <w:szCs w:val="24"/>
        </w:rPr>
        <w:t>(Fig 1)</w:t>
      </w:r>
      <w:r w:rsidR="00047CA1" w:rsidRPr="008E13CC">
        <w:rPr>
          <w:rFonts w:ascii="Arial" w:hAnsi="Arial" w:cs="Arial"/>
          <w:sz w:val="24"/>
          <w:szCs w:val="24"/>
        </w:rPr>
        <w:t xml:space="preserve">. Between carpal (n=3), metacarpophalangeal (n=3), and </w:t>
      </w:r>
      <w:proofErr w:type="spellStart"/>
      <w:r w:rsidR="00047CA1" w:rsidRPr="008E13CC">
        <w:rPr>
          <w:rFonts w:ascii="Arial" w:hAnsi="Arial" w:cs="Arial"/>
          <w:sz w:val="24"/>
          <w:szCs w:val="24"/>
        </w:rPr>
        <w:t>tarsocrural</w:t>
      </w:r>
      <w:proofErr w:type="spellEnd"/>
      <w:r w:rsidR="00047CA1" w:rsidRPr="008E13CC">
        <w:rPr>
          <w:rFonts w:ascii="Arial" w:hAnsi="Arial" w:cs="Arial"/>
          <w:sz w:val="24"/>
          <w:szCs w:val="24"/>
        </w:rPr>
        <w:t xml:space="preserve"> (n=6) joints, synovial fluid CTX-1 w</w:t>
      </w:r>
      <w:r w:rsidR="00562719">
        <w:rPr>
          <w:rFonts w:ascii="Arial" w:hAnsi="Arial" w:cs="Arial"/>
          <w:sz w:val="24"/>
          <w:szCs w:val="24"/>
        </w:rPr>
        <w:t>as</w:t>
      </w:r>
      <w:r w:rsidR="00047CA1" w:rsidRPr="008E13CC">
        <w:rPr>
          <w:rFonts w:ascii="Arial" w:hAnsi="Arial" w:cs="Arial"/>
          <w:sz w:val="24"/>
          <w:szCs w:val="24"/>
        </w:rPr>
        <w:t xml:space="preserve"> lowest in carpal joints and highest in fetlock joints (p≤0.04). </w:t>
      </w:r>
      <w:r w:rsidR="00047CA1">
        <w:rPr>
          <w:rFonts w:ascii="Arial" w:hAnsi="Arial" w:cs="Arial"/>
          <w:sz w:val="24"/>
          <w:szCs w:val="24"/>
        </w:rPr>
        <w:t xml:space="preserve">Osteocalcin was lower in carpal joints compared to tarsal joints (p=0.04). </w:t>
      </w:r>
      <w:r w:rsidR="00047CA1" w:rsidRPr="008E13CC">
        <w:rPr>
          <w:rFonts w:ascii="Arial" w:hAnsi="Arial" w:cs="Arial"/>
          <w:sz w:val="24"/>
          <w:szCs w:val="24"/>
        </w:rPr>
        <w:t>Synovial fluid PGE</w:t>
      </w:r>
      <w:r w:rsidR="00047CA1" w:rsidRPr="00810199">
        <w:rPr>
          <w:rFonts w:ascii="Arial" w:hAnsi="Arial" w:cs="Arial"/>
          <w:sz w:val="24"/>
          <w:szCs w:val="24"/>
          <w:vertAlign w:val="subscript"/>
        </w:rPr>
        <w:t>2</w:t>
      </w:r>
      <w:r w:rsidR="00047CA1" w:rsidRPr="008E13CC">
        <w:rPr>
          <w:rFonts w:ascii="Arial" w:hAnsi="Arial" w:cs="Arial"/>
          <w:sz w:val="24"/>
          <w:szCs w:val="24"/>
        </w:rPr>
        <w:t xml:space="preserve"> was higher in carpal joints than metacarpophalangeal and </w:t>
      </w:r>
      <w:proofErr w:type="spellStart"/>
      <w:r w:rsidR="00047CA1" w:rsidRPr="008E13CC">
        <w:rPr>
          <w:rFonts w:ascii="Arial" w:hAnsi="Arial" w:cs="Arial"/>
          <w:sz w:val="24"/>
          <w:szCs w:val="24"/>
        </w:rPr>
        <w:t>tarsocrural</w:t>
      </w:r>
      <w:proofErr w:type="spellEnd"/>
      <w:r w:rsidR="00047CA1" w:rsidRPr="008E13CC">
        <w:rPr>
          <w:rFonts w:ascii="Arial" w:hAnsi="Arial" w:cs="Arial"/>
          <w:sz w:val="24"/>
          <w:szCs w:val="24"/>
        </w:rPr>
        <w:t xml:space="preserve"> joints (p≤0.005). </w:t>
      </w:r>
    </w:p>
    <w:p w14:paraId="5727CC22" w14:textId="11101363" w:rsidR="00D53E8C" w:rsidRDefault="00047CA1" w:rsidP="00246D22">
      <w:pPr>
        <w:spacing w:line="240" w:lineRule="auto"/>
        <w:rPr>
          <w:rFonts w:ascii="Arial" w:hAnsi="Arial" w:cs="Arial"/>
          <w:sz w:val="24"/>
          <w:szCs w:val="24"/>
        </w:rPr>
      </w:pPr>
      <w:r w:rsidRPr="008E13CC">
        <w:rPr>
          <w:rFonts w:ascii="Arial" w:hAnsi="Arial" w:cs="Arial"/>
          <w:sz w:val="24"/>
          <w:szCs w:val="24"/>
        </w:rPr>
        <w:t xml:space="preserve">Plasma levels of </w:t>
      </w:r>
      <w:r>
        <w:rPr>
          <w:rFonts w:ascii="Arial" w:hAnsi="Arial" w:cs="Arial"/>
          <w:sz w:val="24"/>
          <w:szCs w:val="24"/>
        </w:rPr>
        <w:t>hydroxylated fatty acids (</w:t>
      </w:r>
      <w:r w:rsidRPr="008E13CC">
        <w:rPr>
          <w:rFonts w:ascii="Arial" w:hAnsi="Arial" w:cs="Arial"/>
          <w:sz w:val="24"/>
          <w:szCs w:val="24"/>
        </w:rPr>
        <w:t>9-HOTE</w:t>
      </w:r>
      <w:r>
        <w:rPr>
          <w:rFonts w:ascii="Arial" w:hAnsi="Arial" w:cs="Arial"/>
          <w:sz w:val="24"/>
          <w:szCs w:val="24"/>
        </w:rPr>
        <w:t xml:space="preserve"> and</w:t>
      </w:r>
      <w:r w:rsidRPr="008E13CC">
        <w:rPr>
          <w:rFonts w:ascii="Arial" w:hAnsi="Arial" w:cs="Arial"/>
          <w:sz w:val="24"/>
          <w:szCs w:val="24"/>
        </w:rPr>
        <w:t xml:space="preserve"> 13-HODE:13-HOTE</w:t>
      </w:r>
      <w:r>
        <w:rPr>
          <w:rFonts w:ascii="Arial" w:hAnsi="Arial" w:cs="Arial"/>
          <w:sz w:val="24"/>
          <w:szCs w:val="24"/>
        </w:rPr>
        <w:t xml:space="preserve"> ratio)</w:t>
      </w:r>
      <w:r w:rsidRPr="008E13CC">
        <w:rPr>
          <w:rFonts w:ascii="Arial" w:hAnsi="Arial" w:cs="Arial"/>
          <w:sz w:val="24"/>
          <w:szCs w:val="24"/>
        </w:rPr>
        <w:t xml:space="preserve">, </w:t>
      </w:r>
      <w:r>
        <w:rPr>
          <w:rFonts w:ascii="Arial" w:hAnsi="Arial" w:cs="Arial"/>
          <w:sz w:val="24"/>
          <w:szCs w:val="24"/>
        </w:rPr>
        <w:t>diols (</w:t>
      </w:r>
      <w:r w:rsidRPr="008E13CC">
        <w:rPr>
          <w:rFonts w:ascii="Arial" w:hAnsi="Arial" w:cs="Arial"/>
          <w:sz w:val="24"/>
          <w:szCs w:val="24"/>
        </w:rPr>
        <w:t>9,10-DiHOME, 9,10-DiHODE, 12,13-DiHOME:12(13)-</w:t>
      </w:r>
      <w:proofErr w:type="spellStart"/>
      <w:r w:rsidRPr="008E13CC">
        <w:rPr>
          <w:rFonts w:ascii="Arial" w:hAnsi="Arial" w:cs="Arial"/>
          <w:sz w:val="24"/>
          <w:szCs w:val="24"/>
        </w:rPr>
        <w:t>EpOME</w:t>
      </w:r>
      <w:proofErr w:type="spellEnd"/>
      <w:r>
        <w:rPr>
          <w:rFonts w:ascii="Arial" w:hAnsi="Arial" w:cs="Arial"/>
          <w:sz w:val="24"/>
          <w:szCs w:val="24"/>
        </w:rPr>
        <w:t xml:space="preserve"> ratio</w:t>
      </w:r>
      <w:r w:rsidRPr="008E13CC">
        <w:rPr>
          <w:rFonts w:ascii="Arial" w:hAnsi="Arial" w:cs="Arial"/>
          <w:sz w:val="24"/>
          <w:szCs w:val="24"/>
        </w:rPr>
        <w:t xml:space="preserve">, </w:t>
      </w:r>
      <w:r>
        <w:rPr>
          <w:rFonts w:ascii="Arial" w:hAnsi="Arial" w:cs="Arial"/>
          <w:sz w:val="24"/>
          <w:szCs w:val="24"/>
        </w:rPr>
        <w:t xml:space="preserve">and </w:t>
      </w:r>
      <w:r w:rsidRPr="008E13CC">
        <w:rPr>
          <w:rFonts w:ascii="Arial" w:hAnsi="Arial" w:cs="Arial"/>
          <w:sz w:val="24"/>
          <w:szCs w:val="24"/>
        </w:rPr>
        <w:t>14,15-DiHETrE</w:t>
      </w:r>
      <w:r>
        <w:rPr>
          <w:rFonts w:ascii="Arial" w:hAnsi="Arial" w:cs="Arial"/>
          <w:sz w:val="24"/>
          <w:szCs w:val="24"/>
        </w:rPr>
        <w:t>)</w:t>
      </w:r>
      <w:r w:rsidRPr="008E13CC">
        <w:rPr>
          <w:rFonts w:ascii="Arial" w:hAnsi="Arial" w:cs="Arial"/>
          <w:sz w:val="24"/>
          <w:szCs w:val="24"/>
        </w:rPr>
        <w:t xml:space="preserve">, and </w:t>
      </w:r>
      <w:r>
        <w:rPr>
          <w:rFonts w:ascii="Arial" w:hAnsi="Arial" w:cs="Arial"/>
          <w:sz w:val="24"/>
          <w:szCs w:val="24"/>
        </w:rPr>
        <w:t xml:space="preserve">docosahexaenoic acid (DHA; </w:t>
      </w:r>
      <w:r w:rsidRPr="008E13CC">
        <w:rPr>
          <w:rFonts w:ascii="Arial" w:hAnsi="Arial" w:cs="Arial"/>
          <w:sz w:val="24"/>
          <w:szCs w:val="24"/>
        </w:rPr>
        <w:t>C22:6n3</w:t>
      </w:r>
      <w:r>
        <w:rPr>
          <w:rFonts w:ascii="Arial" w:hAnsi="Arial" w:cs="Arial"/>
          <w:sz w:val="24"/>
          <w:szCs w:val="24"/>
        </w:rPr>
        <w:t>)</w:t>
      </w:r>
      <w:r w:rsidRPr="008E13CC">
        <w:rPr>
          <w:rFonts w:ascii="Arial" w:hAnsi="Arial" w:cs="Arial"/>
          <w:sz w:val="24"/>
          <w:szCs w:val="24"/>
        </w:rPr>
        <w:t xml:space="preserve"> </w:t>
      </w:r>
      <w:r>
        <w:rPr>
          <w:rFonts w:ascii="Arial" w:hAnsi="Arial" w:cs="Arial"/>
          <w:sz w:val="24"/>
          <w:szCs w:val="24"/>
        </w:rPr>
        <w:t xml:space="preserve">were found to </w:t>
      </w:r>
      <w:r w:rsidRPr="008E13CC">
        <w:rPr>
          <w:rFonts w:ascii="Arial" w:hAnsi="Arial" w:cs="Arial"/>
          <w:sz w:val="24"/>
          <w:szCs w:val="24"/>
        </w:rPr>
        <w:t xml:space="preserve">decrease </w:t>
      </w:r>
      <w:r>
        <w:rPr>
          <w:rFonts w:ascii="Arial" w:hAnsi="Arial" w:cs="Arial"/>
          <w:sz w:val="24"/>
          <w:szCs w:val="24"/>
        </w:rPr>
        <w:t xml:space="preserve">from pre to post treatment when </w:t>
      </w:r>
      <w:r w:rsidRPr="008E13CC">
        <w:rPr>
          <w:rFonts w:ascii="Arial" w:hAnsi="Arial" w:cs="Arial"/>
          <w:sz w:val="24"/>
          <w:szCs w:val="24"/>
        </w:rPr>
        <w:t>all 3 treatments</w:t>
      </w:r>
      <w:r>
        <w:rPr>
          <w:rFonts w:ascii="Arial" w:hAnsi="Arial" w:cs="Arial"/>
          <w:sz w:val="24"/>
          <w:szCs w:val="24"/>
        </w:rPr>
        <w:t xml:space="preserve"> were combined</w:t>
      </w:r>
      <w:r w:rsidRPr="008E13CC">
        <w:rPr>
          <w:rFonts w:ascii="Arial" w:hAnsi="Arial" w:cs="Arial"/>
          <w:sz w:val="24"/>
          <w:szCs w:val="24"/>
        </w:rPr>
        <w:t xml:space="preserve"> (p=0.00</w:t>
      </w:r>
      <w:r>
        <w:rPr>
          <w:rFonts w:ascii="Arial" w:hAnsi="Arial" w:cs="Arial"/>
          <w:sz w:val="24"/>
          <w:szCs w:val="24"/>
        </w:rPr>
        <w:t>4</w:t>
      </w:r>
      <w:r w:rsidRPr="008E13CC">
        <w:rPr>
          <w:rFonts w:ascii="Arial" w:hAnsi="Arial" w:cs="Arial"/>
          <w:sz w:val="24"/>
          <w:szCs w:val="24"/>
        </w:rPr>
        <w:t xml:space="preserve">). </w:t>
      </w:r>
      <w:r>
        <w:rPr>
          <w:rFonts w:ascii="Arial" w:hAnsi="Arial" w:cs="Arial"/>
          <w:sz w:val="24"/>
          <w:szCs w:val="24"/>
        </w:rPr>
        <w:t xml:space="preserve">While individual treatments appeared to decrease these oxylipins, no significance was found within each </w:t>
      </w:r>
      <w:r>
        <w:rPr>
          <w:rFonts w:ascii="Arial" w:hAnsi="Arial" w:cs="Arial"/>
          <w:sz w:val="24"/>
          <w:szCs w:val="24"/>
        </w:rPr>
        <w:lastRenderedPageBreak/>
        <w:t>treatment, and no treatment was found to decrease oxylipins more than the other. S</w:t>
      </w:r>
      <w:r w:rsidRPr="008E13CC">
        <w:rPr>
          <w:rFonts w:ascii="Arial" w:hAnsi="Arial" w:cs="Arial"/>
          <w:sz w:val="24"/>
          <w:szCs w:val="24"/>
        </w:rPr>
        <w:t xml:space="preserve">ynovial </w:t>
      </w:r>
      <w:r w:rsidR="00562719">
        <w:rPr>
          <w:rFonts w:ascii="Arial" w:hAnsi="Arial" w:cs="Arial"/>
          <w:sz w:val="24"/>
          <w:szCs w:val="24"/>
        </w:rPr>
        <w:t>f</w:t>
      </w:r>
      <w:r w:rsidRPr="008E13CC">
        <w:rPr>
          <w:rFonts w:ascii="Arial" w:hAnsi="Arial" w:cs="Arial"/>
          <w:sz w:val="24"/>
          <w:szCs w:val="24"/>
        </w:rPr>
        <w:t xml:space="preserve">luid levels of 9,10-DiHODE decreased following </w:t>
      </w:r>
      <w:r>
        <w:rPr>
          <w:rFonts w:ascii="Arial" w:hAnsi="Arial" w:cs="Arial"/>
          <w:sz w:val="24"/>
          <w:szCs w:val="24"/>
        </w:rPr>
        <w:t xml:space="preserve">combined </w:t>
      </w:r>
      <w:r w:rsidRPr="008E13CC">
        <w:rPr>
          <w:rFonts w:ascii="Arial" w:hAnsi="Arial" w:cs="Arial"/>
          <w:sz w:val="24"/>
          <w:szCs w:val="24"/>
        </w:rPr>
        <w:t xml:space="preserve">treatment </w:t>
      </w:r>
      <w:r w:rsidR="00832921">
        <w:rPr>
          <w:rFonts w:ascii="Arial" w:hAnsi="Arial" w:cs="Arial"/>
          <w:sz w:val="24"/>
          <w:szCs w:val="24"/>
        </w:rPr>
        <w:t xml:space="preserve">and </w:t>
      </w:r>
      <w:r w:rsidRPr="008E13CC">
        <w:rPr>
          <w:rFonts w:ascii="Arial" w:hAnsi="Arial" w:cs="Arial"/>
          <w:sz w:val="24"/>
          <w:szCs w:val="24"/>
        </w:rPr>
        <w:t xml:space="preserve">with </w:t>
      </w:r>
      <w:r>
        <w:rPr>
          <w:rFonts w:ascii="Arial" w:hAnsi="Arial" w:cs="Arial"/>
          <w:sz w:val="24"/>
          <w:szCs w:val="24"/>
        </w:rPr>
        <w:t xml:space="preserve">firocoxib alone </w:t>
      </w:r>
      <w:r w:rsidRPr="008E13CC">
        <w:rPr>
          <w:rFonts w:ascii="Arial" w:hAnsi="Arial" w:cs="Arial"/>
          <w:sz w:val="24"/>
          <w:szCs w:val="24"/>
        </w:rPr>
        <w:t xml:space="preserve">(p=0.0039), but not </w:t>
      </w:r>
      <w:r w:rsidR="001935CE">
        <w:rPr>
          <w:rFonts w:ascii="Arial" w:hAnsi="Arial" w:cs="Arial"/>
          <w:sz w:val="24"/>
          <w:szCs w:val="24"/>
        </w:rPr>
        <w:t>t-</w:t>
      </w:r>
      <w:r w:rsidRPr="008E13CC">
        <w:rPr>
          <w:rFonts w:ascii="Arial" w:hAnsi="Arial" w:cs="Arial"/>
          <w:sz w:val="24"/>
          <w:szCs w:val="24"/>
        </w:rPr>
        <w:t>TUCB</w:t>
      </w:r>
      <w:r>
        <w:rPr>
          <w:rFonts w:ascii="Arial" w:hAnsi="Arial" w:cs="Arial"/>
          <w:sz w:val="24"/>
          <w:szCs w:val="24"/>
        </w:rPr>
        <w:t xml:space="preserve">. </w:t>
      </w:r>
      <w:r w:rsidRPr="008E13CC">
        <w:rPr>
          <w:rFonts w:ascii="Arial" w:hAnsi="Arial" w:cs="Arial"/>
          <w:sz w:val="24"/>
          <w:szCs w:val="24"/>
        </w:rPr>
        <w:t xml:space="preserve">Synovial </w:t>
      </w:r>
      <w:r w:rsidR="00E475A9">
        <w:rPr>
          <w:rFonts w:ascii="Arial" w:hAnsi="Arial" w:cs="Arial"/>
          <w:sz w:val="24"/>
          <w:szCs w:val="24"/>
        </w:rPr>
        <w:t>f</w:t>
      </w:r>
      <w:r w:rsidRPr="008E13CC">
        <w:rPr>
          <w:rFonts w:ascii="Arial" w:hAnsi="Arial" w:cs="Arial"/>
          <w:sz w:val="24"/>
          <w:szCs w:val="24"/>
        </w:rPr>
        <w:t>luid levels of 17,18-DiHETE significantly decreased with firocoxib administration (p=0.0017)</w:t>
      </w:r>
      <w:r>
        <w:rPr>
          <w:rFonts w:ascii="Arial" w:hAnsi="Arial" w:cs="Arial"/>
          <w:sz w:val="24"/>
          <w:szCs w:val="24"/>
        </w:rPr>
        <w:t xml:space="preserve"> but</w:t>
      </w:r>
      <w:r w:rsidRPr="008E13CC">
        <w:rPr>
          <w:rFonts w:ascii="Arial" w:hAnsi="Arial" w:cs="Arial"/>
          <w:sz w:val="24"/>
          <w:szCs w:val="24"/>
        </w:rPr>
        <w:t xml:space="preserve"> did not change with </w:t>
      </w:r>
      <w:r>
        <w:rPr>
          <w:rFonts w:ascii="Arial" w:hAnsi="Arial" w:cs="Arial"/>
          <w:sz w:val="24"/>
          <w:szCs w:val="24"/>
        </w:rPr>
        <w:t>combined treatment</w:t>
      </w:r>
      <w:r w:rsidRPr="008E13CC">
        <w:rPr>
          <w:rFonts w:ascii="Arial" w:hAnsi="Arial" w:cs="Arial"/>
          <w:sz w:val="24"/>
          <w:szCs w:val="24"/>
        </w:rPr>
        <w:t xml:space="preserve"> or </w:t>
      </w:r>
      <w:r w:rsidR="00640A32">
        <w:rPr>
          <w:rFonts w:ascii="Arial" w:hAnsi="Arial" w:cs="Arial"/>
          <w:sz w:val="24"/>
          <w:szCs w:val="24"/>
        </w:rPr>
        <w:t>t-</w:t>
      </w:r>
      <w:r w:rsidRPr="008E13CC">
        <w:rPr>
          <w:rFonts w:ascii="Arial" w:hAnsi="Arial" w:cs="Arial"/>
          <w:sz w:val="24"/>
          <w:szCs w:val="24"/>
        </w:rPr>
        <w:t>TUCB</w:t>
      </w:r>
      <w:r>
        <w:rPr>
          <w:rFonts w:ascii="Arial" w:hAnsi="Arial" w:cs="Arial"/>
          <w:sz w:val="24"/>
          <w:szCs w:val="24"/>
        </w:rPr>
        <w:t xml:space="preserve"> alone</w:t>
      </w:r>
      <w:r w:rsidRPr="008E13CC">
        <w:rPr>
          <w:rFonts w:ascii="Arial" w:hAnsi="Arial" w:cs="Arial"/>
          <w:sz w:val="24"/>
          <w:szCs w:val="24"/>
        </w:rPr>
        <w:t>.</w:t>
      </w:r>
      <w:r>
        <w:rPr>
          <w:rFonts w:ascii="Arial" w:hAnsi="Arial" w:cs="Arial"/>
          <w:sz w:val="24"/>
          <w:szCs w:val="24"/>
        </w:rPr>
        <w:t xml:space="preserve"> </w:t>
      </w:r>
      <w:r w:rsidRPr="008E13CC">
        <w:rPr>
          <w:rFonts w:ascii="Arial" w:hAnsi="Arial" w:cs="Arial"/>
          <w:sz w:val="24"/>
          <w:szCs w:val="24"/>
        </w:rPr>
        <w:t xml:space="preserve">Synovial fluid levels of 19,20-DiHDoPE were significantly higher in forelimbs compared to hindlimbs (p&lt;0.0001). </w:t>
      </w:r>
    </w:p>
    <w:p w14:paraId="36B647D1" w14:textId="466B5E69" w:rsidR="008C3AB3" w:rsidRPr="004B7F9B" w:rsidRDefault="00D53E8C" w:rsidP="00246D22">
      <w:pPr>
        <w:spacing w:line="240" w:lineRule="auto"/>
        <w:rPr>
          <w:rFonts w:ascii="Arial" w:hAnsi="Arial" w:cs="Arial"/>
          <w:sz w:val="24"/>
          <w:szCs w:val="24"/>
        </w:rPr>
      </w:pPr>
      <w:r>
        <w:rPr>
          <w:rFonts w:ascii="Arial" w:hAnsi="Arial" w:cs="Arial"/>
          <w:sz w:val="24"/>
          <w:szCs w:val="24"/>
        </w:rPr>
        <w:t xml:space="preserve">Limitations include use of variable joints and a lack of osteoarthritis in some joints sampled for synovial fluid. </w:t>
      </w:r>
    </w:p>
    <w:p w14:paraId="034A1DB4" w14:textId="5D923C18" w:rsidR="00832921" w:rsidRDefault="00531CC2" w:rsidP="00246D22">
      <w:pPr>
        <w:spacing w:line="240" w:lineRule="auto"/>
        <w:rPr>
          <w:rFonts w:ascii="Arial" w:hAnsi="Arial" w:cs="Arial"/>
          <w:sz w:val="24"/>
          <w:szCs w:val="24"/>
        </w:rPr>
      </w:pPr>
      <w:r w:rsidRPr="004E2CD8">
        <w:rPr>
          <w:rFonts w:ascii="Arial" w:hAnsi="Arial" w:cs="Arial"/>
          <w:b/>
          <w:bCs/>
          <w:sz w:val="24"/>
          <w:szCs w:val="24"/>
        </w:rPr>
        <w:t>Conclusion:</w:t>
      </w:r>
      <w:r w:rsidR="00F31763" w:rsidRPr="004B7F9B">
        <w:rPr>
          <w:rFonts w:ascii="Arial" w:hAnsi="Arial" w:cs="Arial"/>
          <w:sz w:val="24"/>
          <w:szCs w:val="24"/>
        </w:rPr>
        <w:t xml:space="preserve"> </w:t>
      </w:r>
      <w:r w:rsidR="00562719">
        <w:rPr>
          <w:rFonts w:ascii="Arial" w:hAnsi="Arial" w:cs="Arial"/>
          <w:sz w:val="24"/>
          <w:szCs w:val="24"/>
        </w:rPr>
        <w:t>PGE</w:t>
      </w:r>
      <w:r w:rsidR="00562719" w:rsidRPr="0092716D">
        <w:rPr>
          <w:rFonts w:ascii="Arial" w:hAnsi="Arial" w:cs="Arial"/>
          <w:sz w:val="24"/>
          <w:szCs w:val="24"/>
          <w:vertAlign w:val="subscript"/>
        </w:rPr>
        <w:t>2</w:t>
      </w:r>
      <w:r w:rsidR="00562719">
        <w:rPr>
          <w:rFonts w:ascii="Arial" w:hAnsi="Arial" w:cs="Arial"/>
          <w:sz w:val="24"/>
          <w:szCs w:val="24"/>
        </w:rPr>
        <w:t xml:space="preserve"> decreased as expected, but </w:t>
      </w:r>
      <w:r w:rsidR="000B3124">
        <w:rPr>
          <w:rFonts w:ascii="Arial" w:hAnsi="Arial" w:cs="Arial"/>
          <w:sz w:val="24"/>
          <w:szCs w:val="24"/>
        </w:rPr>
        <w:t>this decrease was not different between treatments.</w:t>
      </w:r>
      <w:r w:rsidR="00562719">
        <w:rPr>
          <w:rFonts w:ascii="Arial" w:hAnsi="Arial" w:cs="Arial"/>
          <w:sz w:val="24"/>
          <w:szCs w:val="24"/>
        </w:rPr>
        <w:t xml:space="preserve"> </w:t>
      </w:r>
      <w:r w:rsidR="000B3124">
        <w:rPr>
          <w:rFonts w:ascii="Arial" w:hAnsi="Arial" w:cs="Arial"/>
          <w:sz w:val="24"/>
          <w:szCs w:val="24"/>
        </w:rPr>
        <w:t>A</w:t>
      </w:r>
      <w:r w:rsidR="00562719">
        <w:rPr>
          <w:rFonts w:ascii="Arial" w:hAnsi="Arial" w:cs="Arial"/>
          <w:sz w:val="24"/>
          <w:szCs w:val="24"/>
        </w:rPr>
        <w:t xml:space="preserve">s </w:t>
      </w:r>
      <w:r w:rsidR="00067D69">
        <w:rPr>
          <w:rFonts w:ascii="Arial" w:hAnsi="Arial" w:cs="Arial"/>
          <w:sz w:val="24"/>
          <w:szCs w:val="24"/>
        </w:rPr>
        <w:t xml:space="preserve">a product of the COX pathway, </w:t>
      </w:r>
      <w:r w:rsidR="00562719">
        <w:rPr>
          <w:rFonts w:ascii="Arial" w:hAnsi="Arial" w:cs="Arial"/>
          <w:sz w:val="24"/>
          <w:szCs w:val="24"/>
        </w:rPr>
        <w:t xml:space="preserve">we expected a more significant </w:t>
      </w:r>
      <w:r w:rsidR="00067D69">
        <w:rPr>
          <w:rFonts w:ascii="Arial" w:hAnsi="Arial" w:cs="Arial"/>
          <w:sz w:val="24"/>
          <w:szCs w:val="24"/>
        </w:rPr>
        <w:t xml:space="preserve">decrease with administration of firocoxib compared to </w:t>
      </w:r>
      <w:r w:rsidR="00E475A9">
        <w:rPr>
          <w:rFonts w:ascii="Arial" w:hAnsi="Arial" w:cs="Arial"/>
          <w:sz w:val="24"/>
          <w:szCs w:val="24"/>
        </w:rPr>
        <w:t>t-</w:t>
      </w:r>
      <w:r w:rsidR="00067D69">
        <w:rPr>
          <w:rFonts w:ascii="Arial" w:hAnsi="Arial" w:cs="Arial"/>
          <w:sz w:val="24"/>
          <w:szCs w:val="24"/>
        </w:rPr>
        <w:t xml:space="preserve">TUCB </w:t>
      </w:r>
      <w:r w:rsidR="00562719">
        <w:rPr>
          <w:rFonts w:ascii="Arial" w:hAnsi="Arial" w:cs="Arial"/>
          <w:sz w:val="24"/>
          <w:szCs w:val="24"/>
        </w:rPr>
        <w:t xml:space="preserve">as </w:t>
      </w:r>
      <w:r w:rsidR="00067D69">
        <w:rPr>
          <w:rFonts w:ascii="Arial" w:hAnsi="Arial" w:cs="Arial"/>
          <w:sz w:val="24"/>
          <w:szCs w:val="24"/>
        </w:rPr>
        <w:t>firocoxib directly inhibit</w:t>
      </w:r>
      <w:r w:rsidR="00832921">
        <w:rPr>
          <w:rFonts w:ascii="Arial" w:hAnsi="Arial" w:cs="Arial"/>
          <w:sz w:val="24"/>
          <w:szCs w:val="24"/>
        </w:rPr>
        <w:t>s</w:t>
      </w:r>
      <w:r w:rsidR="00FA7246">
        <w:rPr>
          <w:rFonts w:ascii="Arial" w:hAnsi="Arial" w:cs="Arial"/>
          <w:sz w:val="24"/>
          <w:szCs w:val="24"/>
        </w:rPr>
        <w:t xml:space="preserve"> </w:t>
      </w:r>
      <w:r w:rsidR="00067D69">
        <w:rPr>
          <w:rFonts w:ascii="Arial" w:hAnsi="Arial" w:cs="Arial"/>
          <w:sz w:val="24"/>
          <w:szCs w:val="24"/>
        </w:rPr>
        <w:t>prostaglandin</w:t>
      </w:r>
      <w:r w:rsidR="00FA7246">
        <w:rPr>
          <w:rFonts w:ascii="Arial" w:hAnsi="Arial" w:cs="Arial"/>
          <w:sz w:val="24"/>
          <w:szCs w:val="24"/>
        </w:rPr>
        <w:t xml:space="preserve"> production</w:t>
      </w:r>
      <w:r w:rsidR="00067D69">
        <w:rPr>
          <w:rFonts w:ascii="Arial" w:hAnsi="Arial" w:cs="Arial"/>
          <w:sz w:val="24"/>
          <w:szCs w:val="24"/>
        </w:rPr>
        <w:t>,</w:t>
      </w:r>
      <w:r w:rsidR="00832921">
        <w:rPr>
          <w:rFonts w:ascii="Arial" w:hAnsi="Arial" w:cs="Arial"/>
          <w:sz w:val="24"/>
          <w:szCs w:val="24"/>
        </w:rPr>
        <w:t xml:space="preserve"> while </w:t>
      </w:r>
      <w:r w:rsidR="00640A32">
        <w:rPr>
          <w:rFonts w:ascii="Arial" w:hAnsi="Arial" w:cs="Arial"/>
          <w:sz w:val="24"/>
          <w:szCs w:val="24"/>
        </w:rPr>
        <w:t>t-</w:t>
      </w:r>
      <w:r w:rsidR="00832921">
        <w:rPr>
          <w:rFonts w:ascii="Arial" w:hAnsi="Arial" w:cs="Arial"/>
          <w:sz w:val="24"/>
          <w:szCs w:val="24"/>
        </w:rPr>
        <w:t>TUCB may indirectly reduce PGE</w:t>
      </w:r>
      <w:r w:rsidR="00832921" w:rsidRPr="0092716D">
        <w:rPr>
          <w:rFonts w:ascii="Arial" w:hAnsi="Arial" w:cs="Arial"/>
          <w:sz w:val="24"/>
          <w:szCs w:val="24"/>
          <w:vertAlign w:val="subscript"/>
        </w:rPr>
        <w:t>2</w:t>
      </w:r>
      <w:r w:rsidR="00832921">
        <w:rPr>
          <w:rFonts w:ascii="Arial" w:hAnsi="Arial" w:cs="Arial"/>
          <w:sz w:val="24"/>
          <w:szCs w:val="24"/>
        </w:rPr>
        <w:t xml:space="preserve"> levels.</w:t>
      </w:r>
      <w:r w:rsidR="00562719">
        <w:rPr>
          <w:rFonts w:ascii="Arial" w:hAnsi="Arial" w:cs="Arial"/>
          <w:sz w:val="24"/>
          <w:szCs w:val="24"/>
        </w:rPr>
        <w:t xml:space="preserve"> </w:t>
      </w:r>
      <w:r w:rsidR="00D53E8C">
        <w:rPr>
          <w:rFonts w:ascii="Arial" w:hAnsi="Arial" w:cs="Arial"/>
          <w:sz w:val="24"/>
          <w:szCs w:val="24"/>
        </w:rPr>
        <w:t>The chronic nature of the</w:t>
      </w:r>
      <w:r w:rsidR="00562719">
        <w:rPr>
          <w:rFonts w:ascii="Arial" w:hAnsi="Arial" w:cs="Arial"/>
          <w:sz w:val="24"/>
          <w:szCs w:val="24"/>
        </w:rPr>
        <w:t xml:space="preserve"> osteoarthritis</w:t>
      </w:r>
      <w:r w:rsidR="00D53E8C">
        <w:rPr>
          <w:rFonts w:ascii="Arial" w:hAnsi="Arial" w:cs="Arial"/>
          <w:sz w:val="24"/>
          <w:szCs w:val="24"/>
        </w:rPr>
        <w:t xml:space="preserve"> and low levels of active inflammation may have played a role</w:t>
      </w:r>
      <w:r w:rsidR="00562719">
        <w:rPr>
          <w:rFonts w:ascii="Arial" w:hAnsi="Arial" w:cs="Arial"/>
          <w:sz w:val="24"/>
          <w:szCs w:val="24"/>
        </w:rPr>
        <w:t>.</w:t>
      </w:r>
    </w:p>
    <w:p w14:paraId="23420224" w14:textId="27B3056E" w:rsidR="00832921" w:rsidRDefault="00D53E8C" w:rsidP="00246D22">
      <w:pPr>
        <w:spacing w:line="240" w:lineRule="auto"/>
        <w:rPr>
          <w:rFonts w:ascii="Arial" w:hAnsi="Arial" w:cs="Arial"/>
          <w:sz w:val="24"/>
          <w:szCs w:val="24"/>
        </w:rPr>
      </w:pPr>
      <w:r>
        <w:rPr>
          <w:rFonts w:ascii="Arial" w:hAnsi="Arial" w:cs="Arial"/>
          <w:sz w:val="24"/>
          <w:szCs w:val="24"/>
        </w:rPr>
        <w:t>Systemic p</w:t>
      </w:r>
      <w:r w:rsidR="00FA7246">
        <w:rPr>
          <w:rFonts w:ascii="Arial" w:hAnsi="Arial" w:cs="Arial"/>
          <w:sz w:val="24"/>
          <w:szCs w:val="24"/>
        </w:rPr>
        <w:t>ro-inflammatory d</w:t>
      </w:r>
      <w:r w:rsidR="00AD1E83">
        <w:rPr>
          <w:rFonts w:ascii="Arial" w:hAnsi="Arial" w:cs="Arial"/>
          <w:sz w:val="24"/>
          <w:szCs w:val="24"/>
        </w:rPr>
        <w:t xml:space="preserve">iols </w:t>
      </w:r>
      <w:r w:rsidR="00FA7246">
        <w:rPr>
          <w:rFonts w:ascii="Arial" w:hAnsi="Arial" w:cs="Arial"/>
          <w:sz w:val="24"/>
          <w:szCs w:val="24"/>
        </w:rPr>
        <w:t xml:space="preserve">and </w:t>
      </w:r>
      <w:proofErr w:type="spellStart"/>
      <w:proofErr w:type="gramStart"/>
      <w:r w:rsidR="00FA7246">
        <w:rPr>
          <w:rFonts w:ascii="Arial" w:hAnsi="Arial" w:cs="Arial"/>
          <w:sz w:val="24"/>
          <w:szCs w:val="24"/>
        </w:rPr>
        <w:t>diol</w:t>
      </w:r>
      <w:proofErr w:type="gramEnd"/>
      <w:r w:rsidR="00FA7246">
        <w:rPr>
          <w:rFonts w:ascii="Arial" w:hAnsi="Arial" w:cs="Arial"/>
          <w:sz w:val="24"/>
          <w:szCs w:val="24"/>
        </w:rPr>
        <w:t>:epoxide</w:t>
      </w:r>
      <w:proofErr w:type="spellEnd"/>
      <w:r w:rsidR="00FA7246">
        <w:rPr>
          <w:rFonts w:ascii="Arial" w:hAnsi="Arial" w:cs="Arial"/>
          <w:sz w:val="24"/>
          <w:szCs w:val="24"/>
        </w:rPr>
        <w:t xml:space="preserve"> ratios </w:t>
      </w:r>
      <w:r w:rsidR="00832921">
        <w:rPr>
          <w:rFonts w:ascii="Arial" w:hAnsi="Arial" w:cs="Arial"/>
          <w:sz w:val="24"/>
          <w:szCs w:val="24"/>
        </w:rPr>
        <w:t>decreased</w:t>
      </w:r>
      <w:r w:rsidR="00AD1E83">
        <w:rPr>
          <w:rFonts w:ascii="Arial" w:hAnsi="Arial" w:cs="Arial"/>
          <w:sz w:val="24"/>
          <w:szCs w:val="24"/>
        </w:rPr>
        <w:t xml:space="preserve"> over time with administration</w:t>
      </w:r>
      <w:r w:rsidR="00832921">
        <w:rPr>
          <w:rFonts w:ascii="Arial" w:hAnsi="Arial" w:cs="Arial"/>
          <w:sz w:val="24"/>
          <w:szCs w:val="24"/>
        </w:rPr>
        <w:t xml:space="preserve"> </w:t>
      </w:r>
      <w:r w:rsidR="00FA7246">
        <w:rPr>
          <w:rFonts w:ascii="Arial" w:hAnsi="Arial" w:cs="Arial"/>
          <w:sz w:val="24"/>
          <w:szCs w:val="24"/>
        </w:rPr>
        <w:t>of</w:t>
      </w:r>
      <w:r w:rsidR="00832921">
        <w:rPr>
          <w:rFonts w:ascii="Arial" w:hAnsi="Arial" w:cs="Arial"/>
          <w:sz w:val="24"/>
          <w:szCs w:val="24"/>
        </w:rPr>
        <w:t xml:space="preserve"> all treatments</w:t>
      </w:r>
      <w:r w:rsidR="00FA7246">
        <w:rPr>
          <w:rFonts w:ascii="Arial" w:hAnsi="Arial" w:cs="Arial"/>
          <w:sz w:val="24"/>
          <w:szCs w:val="24"/>
        </w:rPr>
        <w:t xml:space="preserve"> </w:t>
      </w:r>
      <w:r w:rsidR="00832921">
        <w:rPr>
          <w:rFonts w:ascii="Arial" w:hAnsi="Arial" w:cs="Arial"/>
          <w:sz w:val="24"/>
          <w:szCs w:val="24"/>
        </w:rPr>
        <w:t>as expected</w:t>
      </w:r>
      <w:r w:rsidR="001D1E5E">
        <w:rPr>
          <w:rFonts w:ascii="Arial" w:hAnsi="Arial" w:cs="Arial"/>
          <w:sz w:val="24"/>
          <w:szCs w:val="24"/>
        </w:rPr>
        <w:t xml:space="preserve">. </w:t>
      </w:r>
      <w:r w:rsidR="00832921">
        <w:rPr>
          <w:rFonts w:ascii="Arial" w:hAnsi="Arial" w:cs="Arial"/>
          <w:sz w:val="24"/>
          <w:szCs w:val="24"/>
        </w:rPr>
        <w:t xml:space="preserve">However, </w:t>
      </w:r>
      <w:r w:rsidR="000B3124">
        <w:rPr>
          <w:rFonts w:ascii="Arial" w:hAnsi="Arial" w:cs="Arial"/>
          <w:sz w:val="24"/>
          <w:szCs w:val="24"/>
        </w:rPr>
        <w:t>we expected a more significant decrease in diols and increase in epoxides with t-TUCB</w:t>
      </w:r>
      <w:r w:rsidRPr="00D53E8C">
        <w:rPr>
          <w:rFonts w:ascii="Arial" w:hAnsi="Arial" w:cs="Arial"/>
          <w:sz w:val="24"/>
          <w:szCs w:val="24"/>
        </w:rPr>
        <w:t xml:space="preserve"> </w:t>
      </w:r>
      <w:r>
        <w:rPr>
          <w:rFonts w:ascii="Arial" w:hAnsi="Arial" w:cs="Arial"/>
          <w:sz w:val="24"/>
          <w:szCs w:val="24"/>
        </w:rPr>
        <w:t xml:space="preserve">as </w:t>
      </w:r>
      <w:r w:rsidR="00E475A9">
        <w:rPr>
          <w:rFonts w:ascii="Arial" w:hAnsi="Arial" w:cs="Arial"/>
          <w:sz w:val="24"/>
          <w:szCs w:val="24"/>
        </w:rPr>
        <w:t>t-</w:t>
      </w:r>
      <w:r>
        <w:rPr>
          <w:rFonts w:ascii="Arial" w:hAnsi="Arial" w:cs="Arial"/>
          <w:sz w:val="24"/>
          <w:szCs w:val="24"/>
        </w:rPr>
        <w:t>TUCB directly inhibits the production of diols</w:t>
      </w:r>
      <w:r w:rsidR="000B3124">
        <w:rPr>
          <w:rFonts w:ascii="Arial" w:hAnsi="Arial" w:cs="Arial"/>
          <w:sz w:val="24"/>
          <w:szCs w:val="24"/>
        </w:rPr>
        <w:t xml:space="preserve">, which did not occur. Additionally, </w:t>
      </w:r>
      <w:r w:rsidR="00832921">
        <w:rPr>
          <w:rFonts w:ascii="Arial" w:hAnsi="Arial" w:cs="Arial"/>
          <w:sz w:val="24"/>
          <w:szCs w:val="24"/>
        </w:rPr>
        <w:t xml:space="preserve">in synovial fluid, </w:t>
      </w:r>
      <w:r w:rsidR="00832921" w:rsidRPr="00832921">
        <w:rPr>
          <w:rFonts w:ascii="Arial" w:hAnsi="Arial" w:cs="Arial"/>
          <w:sz w:val="24"/>
          <w:szCs w:val="24"/>
        </w:rPr>
        <w:t>2 diols</w:t>
      </w:r>
      <w:r>
        <w:rPr>
          <w:rFonts w:ascii="Arial" w:hAnsi="Arial" w:cs="Arial"/>
          <w:sz w:val="24"/>
          <w:szCs w:val="24"/>
        </w:rPr>
        <w:t xml:space="preserve"> </w:t>
      </w:r>
      <w:r w:rsidR="00832921" w:rsidRPr="00832921">
        <w:rPr>
          <w:rFonts w:ascii="Arial" w:hAnsi="Arial" w:cs="Arial"/>
          <w:sz w:val="24"/>
          <w:szCs w:val="24"/>
        </w:rPr>
        <w:t xml:space="preserve">decreased in response to firocoxib but not </w:t>
      </w:r>
      <w:r w:rsidR="00640A32">
        <w:rPr>
          <w:rFonts w:ascii="Arial" w:hAnsi="Arial" w:cs="Arial"/>
          <w:sz w:val="24"/>
          <w:szCs w:val="24"/>
        </w:rPr>
        <w:t>t-</w:t>
      </w:r>
      <w:r w:rsidR="00832921" w:rsidRPr="00832921">
        <w:rPr>
          <w:rFonts w:ascii="Arial" w:hAnsi="Arial" w:cs="Arial"/>
          <w:sz w:val="24"/>
          <w:szCs w:val="24"/>
        </w:rPr>
        <w:t>TUCB</w:t>
      </w:r>
      <w:r w:rsidR="00832921">
        <w:rPr>
          <w:rFonts w:ascii="Arial" w:hAnsi="Arial" w:cs="Arial"/>
          <w:sz w:val="24"/>
          <w:szCs w:val="24"/>
        </w:rPr>
        <w:t xml:space="preserve"> alone.</w:t>
      </w:r>
      <w:r w:rsidR="00832921" w:rsidRPr="00832921">
        <w:rPr>
          <w:rFonts w:ascii="Arial" w:hAnsi="Arial" w:cs="Arial"/>
          <w:sz w:val="24"/>
          <w:szCs w:val="24"/>
        </w:rPr>
        <w:t xml:space="preserve"> The lack of response of the diols to </w:t>
      </w:r>
      <w:r w:rsidR="00E475A9">
        <w:rPr>
          <w:rFonts w:ascii="Arial" w:hAnsi="Arial" w:cs="Arial"/>
          <w:sz w:val="24"/>
          <w:szCs w:val="24"/>
        </w:rPr>
        <w:t>t-</w:t>
      </w:r>
      <w:r w:rsidR="00832921" w:rsidRPr="00832921">
        <w:rPr>
          <w:rFonts w:ascii="Arial" w:hAnsi="Arial" w:cs="Arial"/>
          <w:sz w:val="24"/>
          <w:szCs w:val="24"/>
        </w:rPr>
        <w:t xml:space="preserve">TUCB may </w:t>
      </w:r>
      <w:r w:rsidR="002A60FF">
        <w:rPr>
          <w:rFonts w:ascii="Arial" w:hAnsi="Arial" w:cs="Arial"/>
          <w:sz w:val="24"/>
          <w:szCs w:val="24"/>
        </w:rPr>
        <w:t xml:space="preserve">again </w:t>
      </w:r>
      <w:r w:rsidR="00832921" w:rsidRPr="00832921">
        <w:rPr>
          <w:rFonts w:ascii="Arial" w:hAnsi="Arial" w:cs="Arial"/>
          <w:sz w:val="24"/>
          <w:szCs w:val="24"/>
        </w:rPr>
        <w:t xml:space="preserve">be due to </w:t>
      </w:r>
      <w:r w:rsidR="002A60FF">
        <w:rPr>
          <w:rFonts w:ascii="Arial" w:hAnsi="Arial" w:cs="Arial"/>
          <w:sz w:val="24"/>
          <w:szCs w:val="24"/>
        </w:rPr>
        <w:t>the chronic nature of the osteoarthritis</w:t>
      </w:r>
      <w:r w:rsidR="002A60FF" w:rsidRPr="00832921">
        <w:rPr>
          <w:rFonts w:ascii="Arial" w:hAnsi="Arial" w:cs="Arial"/>
          <w:sz w:val="24"/>
          <w:szCs w:val="24"/>
        </w:rPr>
        <w:t xml:space="preserve"> </w:t>
      </w:r>
      <w:r w:rsidR="002A60FF">
        <w:rPr>
          <w:rFonts w:ascii="Arial" w:hAnsi="Arial" w:cs="Arial"/>
          <w:sz w:val="24"/>
          <w:szCs w:val="24"/>
        </w:rPr>
        <w:t xml:space="preserve">and a lack of </w:t>
      </w:r>
      <w:r w:rsidR="00832921" w:rsidRPr="00832921">
        <w:rPr>
          <w:rFonts w:ascii="Arial" w:hAnsi="Arial" w:cs="Arial"/>
          <w:sz w:val="24"/>
          <w:szCs w:val="24"/>
        </w:rPr>
        <w:t>inflam</w:t>
      </w:r>
      <w:r w:rsidR="002A60FF">
        <w:rPr>
          <w:rFonts w:ascii="Arial" w:hAnsi="Arial" w:cs="Arial"/>
          <w:sz w:val="24"/>
          <w:szCs w:val="24"/>
        </w:rPr>
        <w:t>mation</w:t>
      </w:r>
      <w:r w:rsidR="00832921" w:rsidRPr="00832921">
        <w:rPr>
          <w:rFonts w:ascii="Arial" w:hAnsi="Arial" w:cs="Arial"/>
          <w:sz w:val="24"/>
          <w:szCs w:val="24"/>
        </w:rPr>
        <w:t>.</w:t>
      </w:r>
      <w:r w:rsidR="002A60FF">
        <w:rPr>
          <w:rFonts w:ascii="Arial" w:hAnsi="Arial" w:cs="Arial"/>
          <w:sz w:val="24"/>
          <w:szCs w:val="24"/>
        </w:rPr>
        <w:t xml:space="preserve"> Additionally, dose dependent effects have been seen with t-TUCB, and a higher dose may be necessary to create a synovial fluid oxylipin change. The prior finding that these horses improved in lameness indicate that the systemic oxylipin effects or an analgesic effect are improving lameness rather than a joint level effect. This is</w:t>
      </w:r>
      <w:r w:rsidR="00F27141">
        <w:rPr>
          <w:rFonts w:ascii="Arial" w:hAnsi="Arial" w:cs="Arial"/>
          <w:sz w:val="24"/>
          <w:szCs w:val="24"/>
        </w:rPr>
        <w:t xml:space="preserve"> one of</w:t>
      </w:r>
      <w:r w:rsidR="002A60FF">
        <w:rPr>
          <w:rFonts w:ascii="Arial" w:hAnsi="Arial" w:cs="Arial"/>
          <w:sz w:val="24"/>
          <w:szCs w:val="24"/>
        </w:rPr>
        <w:t xml:space="preserve"> the first oxylipin analyses in horses that the authors are aware of, and it shows promise in furthering our understanding of the effects of these drugs systemically and at the level of the joint. </w:t>
      </w:r>
      <w:r w:rsidR="00832921">
        <w:rPr>
          <w:rFonts w:ascii="Arial" w:hAnsi="Arial" w:cs="Arial"/>
          <w:sz w:val="24"/>
          <w:szCs w:val="24"/>
        </w:rPr>
        <w:t xml:space="preserve"> </w:t>
      </w:r>
    </w:p>
    <w:p w14:paraId="1727A942" w14:textId="3CBD1529" w:rsidR="00B47149" w:rsidRDefault="00531CC2" w:rsidP="00246D22">
      <w:pPr>
        <w:spacing w:after="0" w:line="240" w:lineRule="auto"/>
        <w:rPr>
          <w:rFonts w:ascii="Arial" w:hAnsi="Arial" w:cs="Arial"/>
          <w:sz w:val="24"/>
          <w:szCs w:val="24"/>
        </w:rPr>
      </w:pPr>
      <w:r>
        <w:rPr>
          <w:rFonts w:ascii="Arial" w:hAnsi="Arial" w:cs="Arial"/>
          <w:b/>
          <w:bCs/>
          <w:sz w:val="24"/>
          <w:szCs w:val="24"/>
        </w:rPr>
        <w:t>Figures</w:t>
      </w:r>
      <w:r w:rsidRPr="004E2CD8">
        <w:rPr>
          <w:rFonts w:ascii="Arial" w:hAnsi="Arial" w:cs="Arial"/>
          <w:b/>
          <w:bCs/>
          <w:sz w:val="24"/>
          <w:szCs w:val="24"/>
        </w:rPr>
        <w:t>:</w:t>
      </w:r>
      <w:r w:rsidR="00B47149" w:rsidRPr="00B47149">
        <w:rPr>
          <w:rFonts w:ascii="Arial" w:hAnsi="Arial" w:cs="Arial"/>
          <w:sz w:val="24"/>
          <w:szCs w:val="24"/>
        </w:rPr>
        <w:t xml:space="preserve"> </w:t>
      </w:r>
    </w:p>
    <w:p w14:paraId="796029DF" w14:textId="77777777" w:rsidR="001935CE" w:rsidRDefault="001935CE" w:rsidP="001935CE">
      <w:pPr>
        <w:spacing w:line="240" w:lineRule="auto"/>
        <w:rPr>
          <w:rFonts w:ascii="Arial" w:hAnsi="Arial" w:cs="Arial"/>
          <w:sz w:val="24"/>
          <w:szCs w:val="24"/>
        </w:rPr>
      </w:pPr>
      <w:r w:rsidRPr="008E13CC">
        <w:rPr>
          <w:rFonts w:ascii="Arial" w:hAnsi="Arial" w:cs="Arial"/>
          <w:sz w:val="24"/>
          <w:szCs w:val="24"/>
        </w:rPr>
        <w:t xml:space="preserve">Fig 1. Horse joints and radiographic grades. </w:t>
      </w:r>
      <w:r>
        <w:rPr>
          <w:rFonts w:ascii="Arial" w:hAnsi="Arial" w:cs="Arial"/>
          <w:sz w:val="24"/>
          <w:szCs w:val="24"/>
        </w:rPr>
        <w:t xml:space="preserve">Joints used in this study are bolded. </w:t>
      </w:r>
      <w:r w:rsidRPr="008E13CC">
        <w:rPr>
          <w:rFonts w:ascii="Arial" w:hAnsi="Arial" w:cs="Arial"/>
          <w:sz w:val="24"/>
          <w:szCs w:val="24"/>
        </w:rPr>
        <w:t>All horses had arthritic joint</w:t>
      </w:r>
      <w:r>
        <w:rPr>
          <w:rFonts w:ascii="Arial" w:hAnsi="Arial" w:cs="Arial"/>
          <w:sz w:val="24"/>
          <w:szCs w:val="24"/>
        </w:rPr>
        <w:t>s</w:t>
      </w:r>
      <w:r w:rsidRPr="008E13CC">
        <w:rPr>
          <w:rFonts w:ascii="Arial" w:hAnsi="Arial" w:cs="Arial"/>
          <w:sz w:val="24"/>
          <w:szCs w:val="24"/>
        </w:rPr>
        <w:t>, but not all arthritic joints could be sampled for analyses (</w:t>
      </w:r>
      <w:proofErr w:type="spellStart"/>
      <w:r w:rsidRPr="008E13CC">
        <w:rPr>
          <w:rFonts w:ascii="Arial" w:hAnsi="Arial" w:cs="Arial"/>
          <w:sz w:val="24"/>
          <w:szCs w:val="24"/>
        </w:rPr>
        <w:t>eg.</w:t>
      </w:r>
      <w:proofErr w:type="spellEnd"/>
      <w:r w:rsidRPr="008E13CC">
        <w:rPr>
          <w:rFonts w:ascii="Arial" w:hAnsi="Arial" w:cs="Arial"/>
          <w:sz w:val="24"/>
          <w:szCs w:val="24"/>
        </w:rPr>
        <w:t xml:space="preserve"> tarsometatarsal joints). One forelimb and one hindlimb joint was utilized for all analyses. The </w:t>
      </w:r>
      <w:proofErr w:type="spellStart"/>
      <w:r w:rsidRPr="008E13CC">
        <w:rPr>
          <w:rFonts w:ascii="Arial" w:hAnsi="Arial" w:cs="Arial"/>
          <w:sz w:val="24"/>
          <w:szCs w:val="24"/>
        </w:rPr>
        <w:t>tarsocrural</w:t>
      </w:r>
      <w:proofErr w:type="spellEnd"/>
      <w:r w:rsidRPr="008E13CC">
        <w:rPr>
          <w:rFonts w:ascii="Arial" w:hAnsi="Arial" w:cs="Arial"/>
          <w:sz w:val="24"/>
          <w:szCs w:val="24"/>
        </w:rPr>
        <w:t xml:space="preserve"> joint was utilized for hind limb joint synovial fluid sampling to be able to obtain enough </w:t>
      </w:r>
      <w:commentRangeStart w:id="0"/>
      <w:r w:rsidRPr="008E13CC">
        <w:rPr>
          <w:rFonts w:ascii="Arial" w:hAnsi="Arial" w:cs="Arial"/>
          <w:sz w:val="24"/>
          <w:szCs w:val="24"/>
        </w:rPr>
        <w:t>sample</w:t>
      </w:r>
      <w:commentRangeEnd w:id="0"/>
      <w:r w:rsidRPr="00810199">
        <w:rPr>
          <w:rStyle w:val="CommentReference"/>
          <w:rFonts w:ascii="Arial" w:hAnsi="Arial" w:cs="Arial"/>
          <w:sz w:val="24"/>
          <w:szCs w:val="24"/>
        </w:rPr>
        <w:commentReference w:id="0"/>
      </w:r>
      <w:r w:rsidRPr="008E13CC">
        <w:rPr>
          <w:rFonts w:ascii="Arial" w:hAnsi="Arial" w:cs="Arial"/>
          <w:sz w:val="24"/>
          <w:szCs w:val="24"/>
        </w:rPr>
        <w:t xml:space="preserve">. </w:t>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828"/>
        <w:gridCol w:w="3240"/>
        <w:gridCol w:w="2198"/>
      </w:tblGrid>
      <w:tr w:rsidR="001935CE" w:rsidRPr="008E13CC" w14:paraId="040836D6" w14:textId="77777777" w:rsidTr="00E51580">
        <w:trPr>
          <w:trHeight w:val="300"/>
        </w:trPr>
        <w:tc>
          <w:tcPr>
            <w:tcW w:w="857" w:type="dxa"/>
            <w:tcBorders>
              <w:bottom w:val="single" w:sz="4" w:space="0" w:color="auto"/>
            </w:tcBorders>
            <w:noWrap/>
            <w:vAlign w:val="center"/>
            <w:hideMark/>
          </w:tcPr>
          <w:p w14:paraId="573B0562"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Horse</w:t>
            </w:r>
          </w:p>
        </w:tc>
        <w:tc>
          <w:tcPr>
            <w:tcW w:w="2828" w:type="dxa"/>
            <w:tcBorders>
              <w:bottom w:val="single" w:sz="4" w:space="0" w:color="auto"/>
            </w:tcBorders>
            <w:noWrap/>
            <w:vAlign w:val="center"/>
            <w:hideMark/>
          </w:tcPr>
          <w:p w14:paraId="0E4A65E8"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Limb</w:t>
            </w:r>
          </w:p>
        </w:tc>
        <w:tc>
          <w:tcPr>
            <w:tcW w:w="3240" w:type="dxa"/>
            <w:noWrap/>
            <w:vAlign w:val="center"/>
            <w:hideMark/>
          </w:tcPr>
          <w:p w14:paraId="57343EEF"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Joint</w:t>
            </w:r>
          </w:p>
        </w:tc>
        <w:tc>
          <w:tcPr>
            <w:tcW w:w="2198" w:type="dxa"/>
            <w:noWrap/>
            <w:vAlign w:val="center"/>
            <w:hideMark/>
          </w:tcPr>
          <w:p w14:paraId="0A5F45DF"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Radiographic Grade</w:t>
            </w:r>
          </w:p>
        </w:tc>
      </w:tr>
      <w:tr w:rsidR="001935CE" w:rsidRPr="008E13CC" w14:paraId="56EB548F" w14:textId="77777777" w:rsidTr="00E51580">
        <w:trPr>
          <w:trHeight w:val="302"/>
        </w:trPr>
        <w:tc>
          <w:tcPr>
            <w:tcW w:w="857" w:type="dxa"/>
            <w:vMerge w:val="restart"/>
            <w:tcBorders>
              <w:right w:val="nil"/>
            </w:tcBorders>
            <w:noWrap/>
            <w:vAlign w:val="center"/>
            <w:hideMark/>
          </w:tcPr>
          <w:p w14:paraId="4A2C5368"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1</w:t>
            </w:r>
          </w:p>
        </w:tc>
        <w:tc>
          <w:tcPr>
            <w:tcW w:w="2828" w:type="dxa"/>
            <w:vMerge w:val="restart"/>
            <w:tcBorders>
              <w:left w:val="nil"/>
              <w:bottom w:val="single" w:sz="6" w:space="0" w:color="auto"/>
            </w:tcBorders>
            <w:noWrap/>
            <w:vAlign w:val="center"/>
            <w:hideMark/>
          </w:tcPr>
          <w:p w14:paraId="2188A84E"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Left</w:t>
            </w:r>
            <w:r>
              <w:rPr>
                <w:rFonts w:ascii="Arial" w:eastAsia="Times New Roman" w:hAnsi="Arial" w:cs="Arial"/>
                <w:color w:val="000000"/>
                <w:sz w:val="24"/>
                <w:szCs w:val="24"/>
              </w:rPr>
              <w:t xml:space="preserve"> </w:t>
            </w:r>
            <w:r w:rsidRPr="00E51580">
              <w:rPr>
                <w:rFonts w:ascii="Arial" w:eastAsia="Times New Roman" w:hAnsi="Arial" w:cs="Arial"/>
                <w:color w:val="000000"/>
                <w:sz w:val="24"/>
                <w:szCs w:val="24"/>
              </w:rPr>
              <w:t>Forelimb</w:t>
            </w:r>
          </w:p>
        </w:tc>
        <w:tc>
          <w:tcPr>
            <w:tcW w:w="3240" w:type="dxa"/>
            <w:noWrap/>
            <w:vAlign w:val="center"/>
            <w:hideMark/>
          </w:tcPr>
          <w:p w14:paraId="12AD84EA"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Radiocarpal</w:t>
            </w:r>
          </w:p>
        </w:tc>
        <w:tc>
          <w:tcPr>
            <w:tcW w:w="2198" w:type="dxa"/>
            <w:noWrap/>
            <w:vAlign w:val="center"/>
            <w:hideMark/>
          </w:tcPr>
          <w:p w14:paraId="25D0D0E9"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2</w:t>
            </w:r>
          </w:p>
        </w:tc>
      </w:tr>
      <w:tr w:rsidR="001935CE" w:rsidRPr="008E13CC" w14:paraId="57F27EB5" w14:textId="77777777" w:rsidTr="00E51580">
        <w:trPr>
          <w:trHeight w:val="302"/>
        </w:trPr>
        <w:tc>
          <w:tcPr>
            <w:tcW w:w="857" w:type="dxa"/>
            <w:vMerge/>
            <w:tcBorders>
              <w:top w:val="single" w:sz="6" w:space="0" w:color="auto"/>
              <w:right w:val="nil"/>
            </w:tcBorders>
            <w:vAlign w:val="center"/>
            <w:hideMark/>
          </w:tcPr>
          <w:p w14:paraId="1D17CA98"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top w:val="single" w:sz="6" w:space="0" w:color="auto"/>
              <w:left w:val="nil"/>
              <w:bottom w:val="single" w:sz="6" w:space="0" w:color="auto"/>
            </w:tcBorders>
            <w:vAlign w:val="center"/>
            <w:hideMark/>
          </w:tcPr>
          <w:p w14:paraId="34C3D820"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hideMark/>
          </w:tcPr>
          <w:p w14:paraId="58471239"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Middle Carpal</w:t>
            </w:r>
          </w:p>
        </w:tc>
        <w:tc>
          <w:tcPr>
            <w:tcW w:w="2198" w:type="dxa"/>
            <w:noWrap/>
            <w:vAlign w:val="center"/>
            <w:hideMark/>
          </w:tcPr>
          <w:p w14:paraId="3993034D"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2</w:t>
            </w:r>
          </w:p>
        </w:tc>
      </w:tr>
      <w:tr w:rsidR="001935CE" w:rsidRPr="008E13CC" w14:paraId="592DFEB3" w14:textId="77777777" w:rsidTr="00E51580">
        <w:trPr>
          <w:trHeight w:val="302"/>
        </w:trPr>
        <w:tc>
          <w:tcPr>
            <w:tcW w:w="857" w:type="dxa"/>
            <w:vMerge/>
            <w:tcBorders>
              <w:top w:val="single" w:sz="6" w:space="0" w:color="auto"/>
              <w:right w:val="nil"/>
            </w:tcBorders>
            <w:vAlign w:val="center"/>
            <w:hideMark/>
          </w:tcPr>
          <w:p w14:paraId="0CF3C883"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top w:val="single" w:sz="6" w:space="0" w:color="auto"/>
              <w:left w:val="nil"/>
              <w:bottom w:val="single" w:sz="6" w:space="0" w:color="auto"/>
            </w:tcBorders>
            <w:vAlign w:val="center"/>
            <w:hideMark/>
          </w:tcPr>
          <w:p w14:paraId="7F600C7F"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hideMark/>
          </w:tcPr>
          <w:p w14:paraId="22CC6C35"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Carpometacarpal</w:t>
            </w:r>
          </w:p>
        </w:tc>
        <w:tc>
          <w:tcPr>
            <w:tcW w:w="2198" w:type="dxa"/>
            <w:noWrap/>
            <w:vAlign w:val="center"/>
            <w:hideMark/>
          </w:tcPr>
          <w:p w14:paraId="176001B3"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2</w:t>
            </w:r>
          </w:p>
        </w:tc>
      </w:tr>
      <w:tr w:rsidR="001935CE" w:rsidRPr="008E13CC" w14:paraId="2B992E78" w14:textId="77777777" w:rsidTr="00E51580">
        <w:trPr>
          <w:trHeight w:val="302"/>
        </w:trPr>
        <w:tc>
          <w:tcPr>
            <w:tcW w:w="857" w:type="dxa"/>
            <w:vMerge/>
            <w:tcBorders>
              <w:top w:val="single" w:sz="6" w:space="0" w:color="auto"/>
              <w:right w:val="nil"/>
            </w:tcBorders>
            <w:vAlign w:val="center"/>
            <w:hideMark/>
          </w:tcPr>
          <w:p w14:paraId="54910E97"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val="restart"/>
            <w:tcBorders>
              <w:top w:val="single" w:sz="6" w:space="0" w:color="auto"/>
              <w:left w:val="nil"/>
              <w:bottom w:val="single" w:sz="6" w:space="0" w:color="auto"/>
            </w:tcBorders>
            <w:noWrap/>
            <w:vAlign w:val="center"/>
            <w:hideMark/>
          </w:tcPr>
          <w:p w14:paraId="5BE99078"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Right Forelimb</w:t>
            </w:r>
          </w:p>
        </w:tc>
        <w:tc>
          <w:tcPr>
            <w:tcW w:w="3240" w:type="dxa"/>
            <w:noWrap/>
            <w:vAlign w:val="center"/>
            <w:hideMark/>
          </w:tcPr>
          <w:p w14:paraId="2A582EBA"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Radiocarpal</w:t>
            </w:r>
          </w:p>
        </w:tc>
        <w:tc>
          <w:tcPr>
            <w:tcW w:w="2198" w:type="dxa"/>
            <w:noWrap/>
            <w:vAlign w:val="center"/>
            <w:hideMark/>
          </w:tcPr>
          <w:p w14:paraId="140554F6"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1</w:t>
            </w:r>
          </w:p>
        </w:tc>
      </w:tr>
      <w:tr w:rsidR="001935CE" w:rsidRPr="008E13CC" w14:paraId="60D0430D" w14:textId="77777777" w:rsidTr="00E51580">
        <w:trPr>
          <w:trHeight w:val="302"/>
        </w:trPr>
        <w:tc>
          <w:tcPr>
            <w:tcW w:w="857" w:type="dxa"/>
            <w:vMerge/>
            <w:tcBorders>
              <w:top w:val="single" w:sz="6" w:space="0" w:color="auto"/>
              <w:right w:val="nil"/>
            </w:tcBorders>
            <w:vAlign w:val="center"/>
            <w:hideMark/>
          </w:tcPr>
          <w:p w14:paraId="2E9887EA"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top w:val="single" w:sz="6" w:space="0" w:color="auto"/>
              <w:left w:val="nil"/>
              <w:bottom w:val="single" w:sz="6" w:space="0" w:color="auto"/>
            </w:tcBorders>
            <w:vAlign w:val="center"/>
            <w:hideMark/>
          </w:tcPr>
          <w:p w14:paraId="2CA2D913"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hideMark/>
          </w:tcPr>
          <w:p w14:paraId="7E6E8929"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Middle Carpal</w:t>
            </w:r>
          </w:p>
        </w:tc>
        <w:tc>
          <w:tcPr>
            <w:tcW w:w="2198" w:type="dxa"/>
            <w:noWrap/>
            <w:vAlign w:val="center"/>
            <w:hideMark/>
          </w:tcPr>
          <w:p w14:paraId="7190F33C"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3</w:t>
            </w:r>
          </w:p>
        </w:tc>
      </w:tr>
      <w:tr w:rsidR="001935CE" w:rsidRPr="008E13CC" w14:paraId="0315E1CF" w14:textId="77777777" w:rsidTr="00E51580">
        <w:trPr>
          <w:trHeight w:val="302"/>
        </w:trPr>
        <w:tc>
          <w:tcPr>
            <w:tcW w:w="857" w:type="dxa"/>
            <w:vMerge/>
            <w:tcBorders>
              <w:top w:val="single" w:sz="6" w:space="0" w:color="auto"/>
              <w:right w:val="nil"/>
            </w:tcBorders>
            <w:vAlign w:val="center"/>
            <w:hideMark/>
          </w:tcPr>
          <w:p w14:paraId="30A9261C"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top w:val="single" w:sz="6" w:space="0" w:color="auto"/>
              <w:left w:val="nil"/>
              <w:bottom w:val="single" w:sz="6" w:space="0" w:color="auto"/>
            </w:tcBorders>
            <w:vAlign w:val="center"/>
            <w:hideMark/>
          </w:tcPr>
          <w:p w14:paraId="6427D896"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hideMark/>
          </w:tcPr>
          <w:p w14:paraId="67ACD937"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Carpometacarpal</w:t>
            </w:r>
          </w:p>
        </w:tc>
        <w:tc>
          <w:tcPr>
            <w:tcW w:w="2198" w:type="dxa"/>
            <w:noWrap/>
            <w:vAlign w:val="center"/>
            <w:hideMark/>
          </w:tcPr>
          <w:p w14:paraId="6D16144E"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2</w:t>
            </w:r>
          </w:p>
        </w:tc>
      </w:tr>
      <w:tr w:rsidR="001935CE" w:rsidRPr="008E13CC" w14:paraId="3B01A3EF" w14:textId="77777777" w:rsidTr="00E51580">
        <w:trPr>
          <w:trHeight w:val="302"/>
        </w:trPr>
        <w:tc>
          <w:tcPr>
            <w:tcW w:w="857" w:type="dxa"/>
            <w:vMerge/>
            <w:tcBorders>
              <w:top w:val="single" w:sz="6" w:space="0" w:color="auto"/>
              <w:right w:val="nil"/>
            </w:tcBorders>
            <w:vAlign w:val="center"/>
            <w:hideMark/>
          </w:tcPr>
          <w:p w14:paraId="79848435"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val="restart"/>
            <w:tcBorders>
              <w:top w:val="single" w:sz="6" w:space="0" w:color="auto"/>
              <w:left w:val="nil"/>
              <w:bottom w:val="single" w:sz="6" w:space="0" w:color="auto"/>
            </w:tcBorders>
            <w:noWrap/>
            <w:vAlign w:val="center"/>
            <w:hideMark/>
          </w:tcPr>
          <w:p w14:paraId="6BD0E66E"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Right Hindlimb</w:t>
            </w:r>
          </w:p>
        </w:tc>
        <w:tc>
          <w:tcPr>
            <w:tcW w:w="3240" w:type="dxa"/>
            <w:noWrap/>
            <w:vAlign w:val="center"/>
            <w:hideMark/>
          </w:tcPr>
          <w:p w14:paraId="4825006C"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Tarsocrural</w:t>
            </w:r>
          </w:p>
        </w:tc>
        <w:tc>
          <w:tcPr>
            <w:tcW w:w="2198" w:type="dxa"/>
            <w:noWrap/>
            <w:vAlign w:val="center"/>
            <w:hideMark/>
          </w:tcPr>
          <w:p w14:paraId="4E8E0FD1"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1</w:t>
            </w:r>
          </w:p>
        </w:tc>
      </w:tr>
      <w:tr w:rsidR="001935CE" w:rsidRPr="008E13CC" w14:paraId="5F3BE900" w14:textId="77777777" w:rsidTr="00E51580">
        <w:trPr>
          <w:trHeight w:val="302"/>
        </w:trPr>
        <w:tc>
          <w:tcPr>
            <w:tcW w:w="857" w:type="dxa"/>
            <w:vMerge/>
            <w:tcBorders>
              <w:top w:val="single" w:sz="6" w:space="0" w:color="auto"/>
              <w:right w:val="nil"/>
            </w:tcBorders>
            <w:vAlign w:val="center"/>
            <w:hideMark/>
          </w:tcPr>
          <w:p w14:paraId="48FAEDF4"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top w:val="single" w:sz="6" w:space="0" w:color="auto"/>
              <w:left w:val="nil"/>
              <w:bottom w:val="single" w:sz="6" w:space="0" w:color="auto"/>
            </w:tcBorders>
            <w:vAlign w:val="center"/>
            <w:hideMark/>
          </w:tcPr>
          <w:p w14:paraId="5D877338"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hideMark/>
          </w:tcPr>
          <w:p w14:paraId="305C136C"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Tarsometatarsal</w:t>
            </w:r>
          </w:p>
        </w:tc>
        <w:tc>
          <w:tcPr>
            <w:tcW w:w="2198" w:type="dxa"/>
            <w:noWrap/>
            <w:vAlign w:val="center"/>
            <w:hideMark/>
          </w:tcPr>
          <w:p w14:paraId="5761D52C"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1</w:t>
            </w:r>
          </w:p>
        </w:tc>
      </w:tr>
      <w:tr w:rsidR="001935CE" w:rsidRPr="008E13CC" w14:paraId="0B3872A8" w14:textId="77777777" w:rsidTr="00E51580">
        <w:trPr>
          <w:trHeight w:val="302"/>
        </w:trPr>
        <w:tc>
          <w:tcPr>
            <w:tcW w:w="857" w:type="dxa"/>
            <w:vMerge w:val="restart"/>
            <w:tcBorders>
              <w:right w:val="nil"/>
            </w:tcBorders>
            <w:noWrap/>
            <w:vAlign w:val="center"/>
            <w:hideMark/>
          </w:tcPr>
          <w:p w14:paraId="1866940C"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2</w:t>
            </w:r>
          </w:p>
        </w:tc>
        <w:tc>
          <w:tcPr>
            <w:tcW w:w="2828" w:type="dxa"/>
            <w:tcBorders>
              <w:top w:val="single" w:sz="6" w:space="0" w:color="auto"/>
              <w:left w:val="nil"/>
            </w:tcBorders>
            <w:noWrap/>
            <w:vAlign w:val="center"/>
            <w:hideMark/>
          </w:tcPr>
          <w:p w14:paraId="324A4B2E"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Right Forelimb</w:t>
            </w:r>
          </w:p>
        </w:tc>
        <w:tc>
          <w:tcPr>
            <w:tcW w:w="3240" w:type="dxa"/>
            <w:noWrap/>
            <w:vAlign w:val="center"/>
            <w:hideMark/>
          </w:tcPr>
          <w:p w14:paraId="6732EDBD"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Metacarpophalangeal</w:t>
            </w:r>
          </w:p>
        </w:tc>
        <w:tc>
          <w:tcPr>
            <w:tcW w:w="2198" w:type="dxa"/>
            <w:noWrap/>
            <w:vAlign w:val="center"/>
            <w:hideMark/>
          </w:tcPr>
          <w:p w14:paraId="27D7572F"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2</w:t>
            </w:r>
          </w:p>
        </w:tc>
      </w:tr>
      <w:tr w:rsidR="001935CE" w:rsidRPr="008E13CC" w14:paraId="0AF1F633" w14:textId="77777777" w:rsidTr="00E51580">
        <w:trPr>
          <w:trHeight w:val="302"/>
        </w:trPr>
        <w:tc>
          <w:tcPr>
            <w:tcW w:w="857" w:type="dxa"/>
            <w:vMerge/>
            <w:tcBorders>
              <w:right w:val="nil"/>
            </w:tcBorders>
            <w:vAlign w:val="center"/>
            <w:hideMark/>
          </w:tcPr>
          <w:p w14:paraId="0F933C93"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val="restart"/>
            <w:tcBorders>
              <w:left w:val="nil"/>
            </w:tcBorders>
            <w:noWrap/>
            <w:vAlign w:val="center"/>
            <w:hideMark/>
          </w:tcPr>
          <w:p w14:paraId="1E8786F5"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Right Hindlimb</w:t>
            </w:r>
          </w:p>
        </w:tc>
        <w:tc>
          <w:tcPr>
            <w:tcW w:w="3240" w:type="dxa"/>
            <w:noWrap/>
            <w:vAlign w:val="center"/>
            <w:hideMark/>
          </w:tcPr>
          <w:p w14:paraId="50511748"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Tarsometatarsal</w:t>
            </w:r>
          </w:p>
        </w:tc>
        <w:tc>
          <w:tcPr>
            <w:tcW w:w="2198" w:type="dxa"/>
            <w:noWrap/>
            <w:vAlign w:val="center"/>
            <w:hideMark/>
          </w:tcPr>
          <w:p w14:paraId="51F6FA6D"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1</w:t>
            </w:r>
          </w:p>
        </w:tc>
      </w:tr>
      <w:tr w:rsidR="001935CE" w:rsidRPr="008E13CC" w14:paraId="24F0BF9E" w14:textId="77777777" w:rsidTr="00E51580">
        <w:trPr>
          <w:trHeight w:val="302"/>
        </w:trPr>
        <w:tc>
          <w:tcPr>
            <w:tcW w:w="857" w:type="dxa"/>
            <w:vMerge/>
            <w:tcBorders>
              <w:right w:val="nil"/>
            </w:tcBorders>
            <w:vAlign w:val="center"/>
          </w:tcPr>
          <w:p w14:paraId="7F7ECAC1"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left w:val="nil"/>
            </w:tcBorders>
            <w:noWrap/>
            <w:vAlign w:val="center"/>
          </w:tcPr>
          <w:p w14:paraId="3E355236"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tcPr>
          <w:p w14:paraId="1E9FC473"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Tarsocrural</w:t>
            </w:r>
          </w:p>
        </w:tc>
        <w:tc>
          <w:tcPr>
            <w:tcW w:w="2198" w:type="dxa"/>
            <w:noWrap/>
            <w:vAlign w:val="center"/>
          </w:tcPr>
          <w:p w14:paraId="724039A7"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0</w:t>
            </w:r>
          </w:p>
        </w:tc>
      </w:tr>
      <w:tr w:rsidR="001935CE" w:rsidRPr="008E13CC" w14:paraId="555D8F25" w14:textId="77777777" w:rsidTr="00E51580">
        <w:trPr>
          <w:trHeight w:val="302"/>
        </w:trPr>
        <w:tc>
          <w:tcPr>
            <w:tcW w:w="857" w:type="dxa"/>
            <w:vMerge w:val="restart"/>
            <w:tcBorders>
              <w:right w:val="nil"/>
            </w:tcBorders>
            <w:noWrap/>
            <w:vAlign w:val="center"/>
            <w:hideMark/>
          </w:tcPr>
          <w:p w14:paraId="42F3E54B"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3</w:t>
            </w:r>
          </w:p>
        </w:tc>
        <w:tc>
          <w:tcPr>
            <w:tcW w:w="2828" w:type="dxa"/>
            <w:tcBorders>
              <w:left w:val="nil"/>
            </w:tcBorders>
            <w:noWrap/>
            <w:vAlign w:val="center"/>
            <w:hideMark/>
          </w:tcPr>
          <w:p w14:paraId="21B0405F"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Left</w:t>
            </w:r>
            <w:r>
              <w:rPr>
                <w:rFonts w:ascii="Arial" w:eastAsia="Times New Roman" w:hAnsi="Arial" w:cs="Arial"/>
                <w:color w:val="000000"/>
                <w:sz w:val="24"/>
                <w:szCs w:val="24"/>
              </w:rPr>
              <w:t xml:space="preserve"> </w:t>
            </w:r>
            <w:r w:rsidRPr="00E51580">
              <w:rPr>
                <w:rFonts w:ascii="Arial" w:eastAsia="Times New Roman" w:hAnsi="Arial" w:cs="Arial"/>
                <w:color w:val="000000"/>
                <w:sz w:val="24"/>
                <w:szCs w:val="24"/>
              </w:rPr>
              <w:t>Forelimb</w:t>
            </w:r>
          </w:p>
        </w:tc>
        <w:tc>
          <w:tcPr>
            <w:tcW w:w="3240" w:type="dxa"/>
            <w:noWrap/>
            <w:vAlign w:val="center"/>
            <w:hideMark/>
          </w:tcPr>
          <w:p w14:paraId="01A232FD"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Carpometacarpal</w:t>
            </w:r>
          </w:p>
        </w:tc>
        <w:tc>
          <w:tcPr>
            <w:tcW w:w="2198" w:type="dxa"/>
            <w:noWrap/>
            <w:vAlign w:val="center"/>
            <w:hideMark/>
          </w:tcPr>
          <w:p w14:paraId="468AC969"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1</w:t>
            </w:r>
          </w:p>
        </w:tc>
      </w:tr>
      <w:tr w:rsidR="001935CE" w:rsidRPr="008E13CC" w14:paraId="3ED8B8C1" w14:textId="77777777" w:rsidTr="00E51580">
        <w:trPr>
          <w:trHeight w:val="302"/>
        </w:trPr>
        <w:tc>
          <w:tcPr>
            <w:tcW w:w="857" w:type="dxa"/>
            <w:vMerge/>
            <w:tcBorders>
              <w:right w:val="nil"/>
            </w:tcBorders>
            <w:vAlign w:val="center"/>
            <w:hideMark/>
          </w:tcPr>
          <w:p w14:paraId="0149671F"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val="restart"/>
            <w:tcBorders>
              <w:left w:val="nil"/>
            </w:tcBorders>
            <w:noWrap/>
            <w:vAlign w:val="center"/>
            <w:hideMark/>
          </w:tcPr>
          <w:p w14:paraId="7805BA38"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Left</w:t>
            </w:r>
            <w:r>
              <w:rPr>
                <w:rFonts w:ascii="Arial" w:eastAsia="Times New Roman" w:hAnsi="Arial" w:cs="Arial"/>
                <w:color w:val="000000"/>
                <w:sz w:val="24"/>
                <w:szCs w:val="24"/>
              </w:rPr>
              <w:t xml:space="preserve"> </w:t>
            </w:r>
            <w:r w:rsidRPr="00E51580">
              <w:rPr>
                <w:rFonts w:ascii="Arial" w:eastAsia="Times New Roman" w:hAnsi="Arial" w:cs="Arial"/>
                <w:color w:val="000000"/>
                <w:sz w:val="24"/>
                <w:szCs w:val="24"/>
              </w:rPr>
              <w:t>Hindlimb</w:t>
            </w:r>
          </w:p>
        </w:tc>
        <w:tc>
          <w:tcPr>
            <w:tcW w:w="3240" w:type="dxa"/>
            <w:noWrap/>
            <w:vAlign w:val="center"/>
            <w:hideMark/>
          </w:tcPr>
          <w:p w14:paraId="0EC5EBC3"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Distal Intertarsal</w:t>
            </w:r>
          </w:p>
        </w:tc>
        <w:tc>
          <w:tcPr>
            <w:tcW w:w="2198" w:type="dxa"/>
            <w:noWrap/>
            <w:vAlign w:val="center"/>
            <w:hideMark/>
          </w:tcPr>
          <w:p w14:paraId="59F2489E"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2</w:t>
            </w:r>
          </w:p>
        </w:tc>
      </w:tr>
      <w:tr w:rsidR="001935CE" w:rsidRPr="008E13CC" w14:paraId="2FD82D99" w14:textId="77777777" w:rsidTr="00E51580">
        <w:trPr>
          <w:trHeight w:val="302"/>
        </w:trPr>
        <w:tc>
          <w:tcPr>
            <w:tcW w:w="857" w:type="dxa"/>
            <w:vMerge/>
            <w:tcBorders>
              <w:right w:val="nil"/>
            </w:tcBorders>
            <w:vAlign w:val="center"/>
          </w:tcPr>
          <w:p w14:paraId="1B349869"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left w:val="nil"/>
            </w:tcBorders>
            <w:noWrap/>
            <w:vAlign w:val="center"/>
          </w:tcPr>
          <w:p w14:paraId="4BC7B4E2"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tcPr>
          <w:p w14:paraId="4773198B" w14:textId="77777777" w:rsidR="001935CE" w:rsidRPr="009F0B7F" w:rsidRDefault="001935CE" w:rsidP="00E51580">
            <w:pPr>
              <w:spacing w:after="0" w:line="240" w:lineRule="auto"/>
              <w:jc w:val="center"/>
              <w:rPr>
                <w:rFonts w:ascii="Arial" w:eastAsia="Times New Roman" w:hAnsi="Arial" w:cs="Arial"/>
                <w:b/>
                <w:bCs/>
                <w:color w:val="000000"/>
                <w:sz w:val="24"/>
                <w:szCs w:val="24"/>
              </w:rPr>
            </w:pPr>
            <w:r w:rsidRPr="009F0B7F">
              <w:rPr>
                <w:rFonts w:ascii="Arial" w:eastAsia="Times New Roman" w:hAnsi="Arial" w:cs="Arial"/>
                <w:b/>
                <w:bCs/>
                <w:color w:val="000000"/>
                <w:sz w:val="24"/>
                <w:szCs w:val="24"/>
              </w:rPr>
              <w:t>Tarsocrural</w:t>
            </w:r>
          </w:p>
        </w:tc>
        <w:tc>
          <w:tcPr>
            <w:tcW w:w="2198" w:type="dxa"/>
            <w:noWrap/>
            <w:vAlign w:val="center"/>
          </w:tcPr>
          <w:p w14:paraId="25A7C25D" w14:textId="77777777" w:rsidR="001935CE" w:rsidRPr="009F0B7F" w:rsidRDefault="001935CE" w:rsidP="00E51580">
            <w:pPr>
              <w:spacing w:after="0" w:line="240" w:lineRule="auto"/>
              <w:jc w:val="center"/>
              <w:rPr>
                <w:rFonts w:ascii="Arial" w:eastAsia="Times New Roman" w:hAnsi="Arial" w:cs="Arial"/>
                <w:b/>
                <w:bCs/>
                <w:color w:val="000000"/>
                <w:sz w:val="24"/>
                <w:szCs w:val="24"/>
              </w:rPr>
            </w:pPr>
            <w:r w:rsidRPr="009F0B7F">
              <w:rPr>
                <w:rFonts w:ascii="Arial" w:eastAsia="Times New Roman" w:hAnsi="Arial" w:cs="Arial"/>
                <w:b/>
                <w:bCs/>
                <w:color w:val="000000"/>
                <w:sz w:val="24"/>
                <w:szCs w:val="24"/>
              </w:rPr>
              <w:t>0</w:t>
            </w:r>
          </w:p>
        </w:tc>
      </w:tr>
      <w:tr w:rsidR="001935CE" w:rsidRPr="008E13CC" w14:paraId="6B8B4745" w14:textId="77777777" w:rsidTr="00E51580">
        <w:trPr>
          <w:trHeight w:val="302"/>
        </w:trPr>
        <w:tc>
          <w:tcPr>
            <w:tcW w:w="857" w:type="dxa"/>
            <w:vMerge/>
            <w:tcBorders>
              <w:right w:val="nil"/>
            </w:tcBorders>
            <w:vAlign w:val="center"/>
            <w:hideMark/>
          </w:tcPr>
          <w:p w14:paraId="135A08D2"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tcBorders>
              <w:left w:val="nil"/>
            </w:tcBorders>
            <w:noWrap/>
            <w:vAlign w:val="center"/>
            <w:hideMark/>
          </w:tcPr>
          <w:p w14:paraId="001129A6"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Right Hindlimb</w:t>
            </w:r>
          </w:p>
        </w:tc>
        <w:tc>
          <w:tcPr>
            <w:tcW w:w="3240" w:type="dxa"/>
            <w:noWrap/>
            <w:vAlign w:val="center"/>
            <w:hideMark/>
          </w:tcPr>
          <w:p w14:paraId="2D77721D"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Distal Intertarsal</w:t>
            </w:r>
          </w:p>
        </w:tc>
        <w:tc>
          <w:tcPr>
            <w:tcW w:w="2198" w:type="dxa"/>
            <w:noWrap/>
            <w:vAlign w:val="center"/>
            <w:hideMark/>
          </w:tcPr>
          <w:p w14:paraId="5A618DD7"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1</w:t>
            </w:r>
          </w:p>
        </w:tc>
      </w:tr>
      <w:tr w:rsidR="001935CE" w:rsidRPr="008E13CC" w14:paraId="428F90D5" w14:textId="77777777" w:rsidTr="00E51580">
        <w:trPr>
          <w:trHeight w:val="302"/>
        </w:trPr>
        <w:tc>
          <w:tcPr>
            <w:tcW w:w="857" w:type="dxa"/>
            <w:vMerge w:val="restart"/>
            <w:tcBorders>
              <w:right w:val="nil"/>
            </w:tcBorders>
            <w:noWrap/>
            <w:vAlign w:val="center"/>
            <w:hideMark/>
          </w:tcPr>
          <w:p w14:paraId="593A1DEC"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4</w:t>
            </w:r>
          </w:p>
        </w:tc>
        <w:tc>
          <w:tcPr>
            <w:tcW w:w="2828" w:type="dxa"/>
            <w:tcBorders>
              <w:left w:val="nil"/>
              <w:bottom w:val="single" w:sz="4" w:space="0" w:color="auto"/>
            </w:tcBorders>
            <w:noWrap/>
            <w:vAlign w:val="center"/>
            <w:hideMark/>
          </w:tcPr>
          <w:p w14:paraId="259ACA51"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Right Forelimb</w:t>
            </w:r>
          </w:p>
        </w:tc>
        <w:tc>
          <w:tcPr>
            <w:tcW w:w="3240" w:type="dxa"/>
            <w:noWrap/>
            <w:vAlign w:val="center"/>
            <w:hideMark/>
          </w:tcPr>
          <w:p w14:paraId="3E504843"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Metacarpophalangeal</w:t>
            </w:r>
          </w:p>
        </w:tc>
        <w:tc>
          <w:tcPr>
            <w:tcW w:w="2198" w:type="dxa"/>
            <w:noWrap/>
            <w:vAlign w:val="center"/>
            <w:hideMark/>
          </w:tcPr>
          <w:p w14:paraId="28F10D14"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1</w:t>
            </w:r>
          </w:p>
        </w:tc>
      </w:tr>
      <w:tr w:rsidR="001935CE" w:rsidRPr="008E13CC" w14:paraId="46219A97" w14:textId="77777777" w:rsidTr="00E51580">
        <w:trPr>
          <w:trHeight w:val="302"/>
        </w:trPr>
        <w:tc>
          <w:tcPr>
            <w:tcW w:w="857" w:type="dxa"/>
            <w:vMerge/>
            <w:tcBorders>
              <w:right w:val="nil"/>
            </w:tcBorders>
            <w:vAlign w:val="center"/>
            <w:hideMark/>
          </w:tcPr>
          <w:p w14:paraId="18B409AF"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val="restart"/>
            <w:tcBorders>
              <w:left w:val="nil"/>
            </w:tcBorders>
            <w:noWrap/>
            <w:vAlign w:val="center"/>
            <w:hideMark/>
          </w:tcPr>
          <w:p w14:paraId="4DE42AEE"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Left</w:t>
            </w:r>
            <w:r>
              <w:rPr>
                <w:rFonts w:ascii="Arial" w:eastAsia="Times New Roman" w:hAnsi="Arial" w:cs="Arial"/>
                <w:color w:val="000000"/>
                <w:sz w:val="24"/>
                <w:szCs w:val="24"/>
              </w:rPr>
              <w:t xml:space="preserve"> </w:t>
            </w:r>
            <w:r w:rsidRPr="00E51580">
              <w:rPr>
                <w:rFonts w:ascii="Arial" w:eastAsia="Times New Roman" w:hAnsi="Arial" w:cs="Arial"/>
                <w:color w:val="000000"/>
                <w:sz w:val="24"/>
                <w:szCs w:val="24"/>
              </w:rPr>
              <w:t>Hindlimb</w:t>
            </w:r>
          </w:p>
        </w:tc>
        <w:tc>
          <w:tcPr>
            <w:tcW w:w="3240" w:type="dxa"/>
            <w:noWrap/>
            <w:vAlign w:val="center"/>
            <w:hideMark/>
          </w:tcPr>
          <w:p w14:paraId="454FDAAE"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Proximal Intertarsal</w:t>
            </w:r>
          </w:p>
        </w:tc>
        <w:tc>
          <w:tcPr>
            <w:tcW w:w="2198" w:type="dxa"/>
            <w:noWrap/>
            <w:vAlign w:val="center"/>
            <w:hideMark/>
          </w:tcPr>
          <w:p w14:paraId="23852678"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3</w:t>
            </w:r>
          </w:p>
        </w:tc>
      </w:tr>
      <w:tr w:rsidR="001935CE" w:rsidRPr="008E13CC" w14:paraId="63D506CF" w14:textId="77777777" w:rsidTr="00E51580">
        <w:trPr>
          <w:trHeight w:val="302"/>
        </w:trPr>
        <w:tc>
          <w:tcPr>
            <w:tcW w:w="857" w:type="dxa"/>
            <w:vMerge/>
            <w:tcBorders>
              <w:right w:val="nil"/>
            </w:tcBorders>
            <w:vAlign w:val="center"/>
            <w:hideMark/>
          </w:tcPr>
          <w:p w14:paraId="12347A42"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left w:val="nil"/>
            </w:tcBorders>
            <w:vAlign w:val="center"/>
            <w:hideMark/>
          </w:tcPr>
          <w:p w14:paraId="024302EF"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hideMark/>
          </w:tcPr>
          <w:p w14:paraId="5FD42CD7"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Distal Intertarsal</w:t>
            </w:r>
          </w:p>
        </w:tc>
        <w:tc>
          <w:tcPr>
            <w:tcW w:w="2198" w:type="dxa"/>
            <w:noWrap/>
            <w:vAlign w:val="center"/>
            <w:hideMark/>
          </w:tcPr>
          <w:p w14:paraId="69C91FC7"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3</w:t>
            </w:r>
          </w:p>
        </w:tc>
      </w:tr>
      <w:tr w:rsidR="001935CE" w:rsidRPr="008E13CC" w14:paraId="20B74FCF" w14:textId="77777777" w:rsidTr="00E51580">
        <w:trPr>
          <w:trHeight w:val="302"/>
        </w:trPr>
        <w:tc>
          <w:tcPr>
            <w:tcW w:w="857" w:type="dxa"/>
            <w:vMerge/>
            <w:tcBorders>
              <w:right w:val="nil"/>
            </w:tcBorders>
            <w:vAlign w:val="center"/>
            <w:hideMark/>
          </w:tcPr>
          <w:p w14:paraId="7E731427"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left w:val="nil"/>
            </w:tcBorders>
            <w:vAlign w:val="center"/>
            <w:hideMark/>
          </w:tcPr>
          <w:p w14:paraId="1FD91E05"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hideMark/>
          </w:tcPr>
          <w:p w14:paraId="67617769"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Tarsometatarsal</w:t>
            </w:r>
          </w:p>
        </w:tc>
        <w:tc>
          <w:tcPr>
            <w:tcW w:w="2198" w:type="dxa"/>
            <w:noWrap/>
            <w:vAlign w:val="center"/>
            <w:hideMark/>
          </w:tcPr>
          <w:p w14:paraId="212EEFEE"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3</w:t>
            </w:r>
          </w:p>
        </w:tc>
      </w:tr>
      <w:tr w:rsidR="001935CE" w:rsidRPr="008E13CC" w14:paraId="669830B8" w14:textId="77777777" w:rsidTr="00E51580">
        <w:trPr>
          <w:trHeight w:val="302"/>
        </w:trPr>
        <w:tc>
          <w:tcPr>
            <w:tcW w:w="857" w:type="dxa"/>
            <w:vMerge/>
            <w:tcBorders>
              <w:right w:val="nil"/>
            </w:tcBorders>
            <w:vAlign w:val="center"/>
            <w:hideMark/>
          </w:tcPr>
          <w:p w14:paraId="337D8394"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val="restart"/>
            <w:tcBorders>
              <w:left w:val="nil"/>
            </w:tcBorders>
            <w:noWrap/>
            <w:vAlign w:val="center"/>
            <w:hideMark/>
          </w:tcPr>
          <w:p w14:paraId="712D9443"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Right Hindlimb</w:t>
            </w:r>
          </w:p>
        </w:tc>
        <w:tc>
          <w:tcPr>
            <w:tcW w:w="3240" w:type="dxa"/>
            <w:noWrap/>
            <w:vAlign w:val="center"/>
            <w:hideMark/>
          </w:tcPr>
          <w:p w14:paraId="7C9DC3D3"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Proximal Intertarsal</w:t>
            </w:r>
          </w:p>
        </w:tc>
        <w:tc>
          <w:tcPr>
            <w:tcW w:w="2198" w:type="dxa"/>
            <w:noWrap/>
            <w:vAlign w:val="center"/>
            <w:hideMark/>
          </w:tcPr>
          <w:p w14:paraId="4B6E6EA9"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1</w:t>
            </w:r>
          </w:p>
        </w:tc>
      </w:tr>
      <w:tr w:rsidR="001935CE" w:rsidRPr="008E13CC" w14:paraId="170A189B" w14:textId="77777777" w:rsidTr="00E51580">
        <w:trPr>
          <w:trHeight w:val="302"/>
        </w:trPr>
        <w:tc>
          <w:tcPr>
            <w:tcW w:w="857" w:type="dxa"/>
            <w:vMerge/>
            <w:tcBorders>
              <w:right w:val="nil"/>
            </w:tcBorders>
            <w:vAlign w:val="center"/>
            <w:hideMark/>
          </w:tcPr>
          <w:p w14:paraId="7791EF30"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left w:val="nil"/>
            </w:tcBorders>
            <w:vAlign w:val="center"/>
            <w:hideMark/>
          </w:tcPr>
          <w:p w14:paraId="3491F74E"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hideMark/>
          </w:tcPr>
          <w:p w14:paraId="5EC93058"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Distal Intertarsal</w:t>
            </w:r>
          </w:p>
        </w:tc>
        <w:tc>
          <w:tcPr>
            <w:tcW w:w="2198" w:type="dxa"/>
            <w:noWrap/>
            <w:vAlign w:val="center"/>
            <w:hideMark/>
          </w:tcPr>
          <w:p w14:paraId="675084F8"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2</w:t>
            </w:r>
          </w:p>
        </w:tc>
      </w:tr>
      <w:tr w:rsidR="001935CE" w:rsidRPr="008E13CC" w14:paraId="738C5E5D" w14:textId="77777777" w:rsidTr="00E51580">
        <w:trPr>
          <w:trHeight w:val="302"/>
        </w:trPr>
        <w:tc>
          <w:tcPr>
            <w:tcW w:w="857" w:type="dxa"/>
            <w:vMerge/>
            <w:tcBorders>
              <w:right w:val="nil"/>
            </w:tcBorders>
            <w:vAlign w:val="center"/>
            <w:hideMark/>
          </w:tcPr>
          <w:p w14:paraId="795EA51B"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left w:val="nil"/>
            </w:tcBorders>
            <w:vAlign w:val="center"/>
            <w:hideMark/>
          </w:tcPr>
          <w:p w14:paraId="3EF102DB"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hideMark/>
          </w:tcPr>
          <w:p w14:paraId="3F0763C0"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Tarsometatarsal</w:t>
            </w:r>
          </w:p>
        </w:tc>
        <w:tc>
          <w:tcPr>
            <w:tcW w:w="2198" w:type="dxa"/>
            <w:noWrap/>
            <w:vAlign w:val="center"/>
            <w:hideMark/>
          </w:tcPr>
          <w:p w14:paraId="198A8E93"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1</w:t>
            </w:r>
          </w:p>
        </w:tc>
      </w:tr>
      <w:tr w:rsidR="001935CE" w:rsidRPr="008E13CC" w14:paraId="51C6663A" w14:textId="77777777" w:rsidTr="00E51580">
        <w:trPr>
          <w:trHeight w:val="302"/>
        </w:trPr>
        <w:tc>
          <w:tcPr>
            <w:tcW w:w="857" w:type="dxa"/>
            <w:vMerge w:val="restart"/>
            <w:tcBorders>
              <w:right w:val="nil"/>
            </w:tcBorders>
            <w:noWrap/>
            <w:vAlign w:val="center"/>
            <w:hideMark/>
          </w:tcPr>
          <w:p w14:paraId="6B0D0221"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5</w:t>
            </w:r>
          </w:p>
        </w:tc>
        <w:tc>
          <w:tcPr>
            <w:tcW w:w="2828" w:type="dxa"/>
            <w:vMerge w:val="restart"/>
            <w:tcBorders>
              <w:left w:val="nil"/>
            </w:tcBorders>
            <w:noWrap/>
            <w:vAlign w:val="center"/>
            <w:hideMark/>
          </w:tcPr>
          <w:p w14:paraId="6D179EDA"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Left</w:t>
            </w:r>
            <w:r>
              <w:rPr>
                <w:rFonts w:ascii="Arial" w:eastAsia="Times New Roman" w:hAnsi="Arial" w:cs="Arial"/>
                <w:color w:val="000000"/>
                <w:sz w:val="24"/>
                <w:szCs w:val="24"/>
              </w:rPr>
              <w:t xml:space="preserve"> </w:t>
            </w:r>
            <w:r w:rsidRPr="00E51580">
              <w:rPr>
                <w:rFonts w:ascii="Arial" w:eastAsia="Times New Roman" w:hAnsi="Arial" w:cs="Arial"/>
                <w:color w:val="000000"/>
                <w:sz w:val="24"/>
                <w:szCs w:val="24"/>
              </w:rPr>
              <w:t>Forelimb</w:t>
            </w:r>
          </w:p>
        </w:tc>
        <w:tc>
          <w:tcPr>
            <w:tcW w:w="3240" w:type="dxa"/>
            <w:noWrap/>
            <w:vAlign w:val="center"/>
            <w:hideMark/>
          </w:tcPr>
          <w:p w14:paraId="3E35FC91"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Radiocarpal</w:t>
            </w:r>
          </w:p>
        </w:tc>
        <w:tc>
          <w:tcPr>
            <w:tcW w:w="2198" w:type="dxa"/>
            <w:noWrap/>
            <w:vAlign w:val="center"/>
            <w:hideMark/>
          </w:tcPr>
          <w:p w14:paraId="38272BC1" w14:textId="77777777" w:rsidR="001935CE" w:rsidRPr="00C203CB" w:rsidRDefault="001935CE" w:rsidP="00E51580">
            <w:pPr>
              <w:spacing w:after="0" w:line="240" w:lineRule="auto"/>
              <w:jc w:val="center"/>
              <w:rPr>
                <w:rFonts w:ascii="Arial" w:eastAsia="Times New Roman" w:hAnsi="Arial" w:cs="Arial"/>
                <w:b/>
                <w:bCs/>
                <w:color w:val="000000"/>
                <w:sz w:val="24"/>
                <w:szCs w:val="24"/>
              </w:rPr>
            </w:pPr>
            <w:r w:rsidRPr="00C203CB">
              <w:rPr>
                <w:rFonts w:ascii="Arial" w:eastAsia="Times New Roman" w:hAnsi="Arial" w:cs="Arial"/>
                <w:b/>
                <w:bCs/>
                <w:color w:val="000000"/>
                <w:sz w:val="24"/>
                <w:szCs w:val="24"/>
              </w:rPr>
              <w:t>3</w:t>
            </w:r>
          </w:p>
        </w:tc>
      </w:tr>
      <w:tr w:rsidR="001935CE" w:rsidRPr="008E13CC" w14:paraId="24CFEC2D" w14:textId="77777777" w:rsidTr="00E51580">
        <w:trPr>
          <w:trHeight w:val="302"/>
        </w:trPr>
        <w:tc>
          <w:tcPr>
            <w:tcW w:w="857" w:type="dxa"/>
            <w:vMerge/>
            <w:tcBorders>
              <w:right w:val="nil"/>
            </w:tcBorders>
            <w:vAlign w:val="center"/>
            <w:hideMark/>
          </w:tcPr>
          <w:p w14:paraId="434C941D"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left w:val="nil"/>
            </w:tcBorders>
            <w:vAlign w:val="center"/>
            <w:hideMark/>
          </w:tcPr>
          <w:p w14:paraId="6BDAFC97"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hideMark/>
          </w:tcPr>
          <w:p w14:paraId="4B1927D0"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Middle Carpal</w:t>
            </w:r>
          </w:p>
        </w:tc>
        <w:tc>
          <w:tcPr>
            <w:tcW w:w="2198" w:type="dxa"/>
            <w:noWrap/>
            <w:vAlign w:val="center"/>
            <w:hideMark/>
          </w:tcPr>
          <w:p w14:paraId="1F193340"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1</w:t>
            </w:r>
          </w:p>
        </w:tc>
      </w:tr>
      <w:tr w:rsidR="001935CE" w:rsidRPr="008E13CC" w14:paraId="2B33F82D" w14:textId="77777777" w:rsidTr="00E51580">
        <w:trPr>
          <w:trHeight w:val="302"/>
        </w:trPr>
        <w:tc>
          <w:tcPr>
            <w:tcW w:w="857" w:type="dxa"/>
            <w:vMerge/>
            <w:tcBorders>
              <w:right w:val="nil"/>
            </w:tcBorders>
            <w:vAlign w:val="center"/>
            <w:hideMark/>
          </w:tcPr>
          <w:p w14:paraId="57A45097"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val="restart"/>
            <w:tcBorders>
              <w:left w:val="nil"/>
            </w:tcBorders>
            <w:noWrap/>
            <w:vAlign w:val="center"/>
            <w:hideMark/>
          </w:tcPr>
          <w:p w14:paraId="55B48D51"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Right Forelimb</w:t>
            </w:r>
          </w:p>
        </w:tc>
        <w:tc>
          <w:tcPr>
            <w:tcW w:w="3240" w:type="dxa"/>
            <w:noWrap/>
            <w:vAlign w:val="center"/>
            <w:hideMark/>
          </w:tcPr>
          <w:p w14:paraId="0A9E3BD0"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Middle Carpal</w:t>
            </w:r>
          </w:p>
        </w:tc>
        <w:tc>
          <w:tcPr>
            <w:tcW w:w="2198" w:type="dxa"/>
            <w:noWrap/>
            <w:vAlign w:val="center"/>
            <w:hideMark/>
          </w:tcPr>
          <w:p w14:paraId="736956CD"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2</w:t>
            </w:r>
          </w:p>
        </w:tc>
      </w:tr>
      <w:tr w:rsidR="001935CE" w:rsidRPr="008E13CC" w14:paraId="4AD270AA" w14:textId="77777777" w:rsidTr="00E51580">
        <w:trPr>
          <w:trHeight w:val="302"/>
        </w:trPr>
        <w:tc>
          <w:tcPr>
            <w:tcW w:w="857" w:type="dxa"/>
            <w:vMerge/>
            <w:tcBorders>
              <w:right w:val="nil"/>
            </w:tcBorders>
            <w:vAlign w:val="center"/>
          </w:tcPr>
          <w:p w14:paraId="03C49A03"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left w:val="nil"/>
            </w:tcBorders>
            <w:noWrap/>
            <w:vAlign w:val="center"/>
          </w:tcPr>
          <w:p w14:paraId="28551964"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tcPr>
          <w:p w14:paraId="63BBE2EC" w14:textId="77777777" w:rsidR="001935CE" w:rsidRPr="00E51580" w:rsidRDefault="001935CE" w:rsidP="00E5158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Carpometacarpal</w:t>
            </w:r>
          </w:p>
        </w:tc>
        <w:tc>
          <w:tcPr>
            <w:tcW w:w="2198" w:type="dxa"/>
            <w:noWrap/>
            <w:vAlign w:val="center"/>
          </w:tcPr>
          <w:p w14:paraId="39FD7085" w14:textId="77777777" w:rsidR="001935CE" w:rsidRPr="00E51580" w:rsidRDefault="001935CE" w:rsidP="00E5158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3</w:t>
            </w:r>
          </w:p>
        </w:tc>
      </w:tr>
      <w:tr w:rsidR="001935CE" w:rsidRPr="008E13CC" w14:paraId="3DB06F64" w14:textId="77777777" w:rsidTr="00E51580">
        <w:trPr>
          <w:trHeight w:val="302"/>
        </w:trPr>
        <w:tc>
          <w:tcPr>
            <w:tcW w:w="857" w:type="dxa"/>
            <w:vMerge/>
            <w:tcBorders>
              <w:right w:val="nil"/>
            </w:tcBorders>
            <w:vAlign w:val="center"/>
            <w:hideMark/>
          </w:tcPr>
          <w:p w14:paraId="0638F524"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tcBorders>
              <w:left w:val="nil"/>
            </w:tcBorders>
            <w:vAlign w:val="center"/>
            <w:hideMark/>
          </w:tcPr>
          <w:p w14:paraId="52210F37" w14:textId="77777777" w:rsidR="001935CE" w:rsidRPr="00E51580" w:rsidRDefault="001935CE" w:rsidP="00E5158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Right Hindlimb</w:t>
            </w:r>
          </w:p>
        </w:tc>
        <w:tc>
          <w:tcPr>
            <w:tcW w:w="3240" w:type="dxa"/>
            <w:noWrap/>
            <w:vAlign w:val="center"/>
            <w:hideMark/>
          </w:tcPr>
          <w:p w14:paraId="5951801B" w14:textId="77777777" w:rsidR="001935CE" w:rsidRPr="009F0B7F" w:rsidRDefault="001935CE" w:rsidP="00E51580">
            <w:pPr>
              <w:spacing w:after="0" w:line="240" w:lineRule="auto"/>
              <w:jc w:val="center"/>
              <w:rPr>
                <w:rFonts w:ascii="Arial" w:eastAsia="Times New Roman" w:hAnsi="Arial" w:cs="Arial"/>
                <w:b/>
                <w:bCs/>
                <w:color w:val="000000"/>
                <w:sz w:val="24"/>
                <w:szCs w:val="24"/>
              </w:rPr>
            </w:pPr>
            <w:r w:rsidRPr="009F0B7F">
              <w:rPr>
                <w:rFonts w:ascii="Arial" w:eastAsia="Times New Roman" w:hAnsi="Arial" w:cs="Arial"/>
                <w:b/>
                <w:bCs/>
                <w:color w:val="000000"/>
                <w:sz w:val="24"/>
                <w:szCs w:val="24"/>
              </w:rPr>
              <w:t>Tarsocrural</w:t>
            </w:r>
          </w:p>
        </w:tc>
        <w:tc>
          <w:tcPr>
            <w:tcW w:w="2198" w:type="dxa"/>
            <w:noWrap/>
            <w:vAlign w:val="center"/>
            <w:hideMark/>
          </w:tcPr>
          <w:p w14:paraId="26AC5E75" w14:textId="77777777" w:rsidR="001935CE" w:rsidRPr="009F0B7F" w:rsidRDefault="001935CE" w:rsidP="00E51580">
            <w:pPr>
              <w:spacing w:after="0" w:line="240" w:lineRule="auto"/>
              <w:jc w:val="center"/>
              <w:rPr>
                <w:rFonts w:ascii="Arial" w:eastAsia="Times New Roman" w:hAnsi="Arial" w:cs="Arial"/>
                <w:b/>
                <w:bCs/>
                <w:color w:val="000000"/>
                <w:sz w:val="24"/>
                <w:szCs w:val="24"/>
              </w:rPr>
            </w:pPr>
            <w:r w:rsidRPr="009F0B7F">
              <w:rPr>
                <w:rFonts w:ascii="Arial" w:eastAsia="Times New Roman" w:hAnsi="Arial" w:cs="Arial"/>
                <w:b/>
                <w:bCs/>
                <w:color w:val="000000"/>
                <w:sz w:val="24"/>
                <w:szCs w:val="24"/>
              </w:rPr>
              <w:t>0</w:t>
            </w:r>
          </w:p>
        </w:tc>
      </w:tr>
      <w:tr w:rsidR="001935CE" w:rsidRPr="008E13CC" w14:paraId="74B5C6A0" w14:textId="77777777" w:rsidTr="00E51580">
        <w:trPr>
          <w:trHeight w:val="302"/>
        </w:trPr>
        <w:tc>
          <w:tcPr>
            <w:tcW w:w="857" w:type="dxa"/>
            <w:vMerge w:val="restart"/>
            <w:tcBorders>
              <w:right w:val="nil"/>
            </w:tcBorders>
            <w:noWrap/>
            <w:vAlign w:val="center"/>
            <w:hideMark/>
          </w:tcPr>
          <w:p w14:paraId="34AE34B5"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6</w:t>
            </w:r>
          </w:p>
        </w:tc>
        <w:tc>
          <w:tcPr>
            <w:tcW w:w="2828" w:type="dxa"/>
            <w:tcBorders>
              <w:left w:val="nil"/>
            </w:tcBorders>
            <w:noWrap/>
            <w:vAlign w:val="center"/>
            <w:hideMark/>
          </w:tcPr>
          <w:p w14:paraId="1A28D461" w14:textId="77777777" w:rsidR="001935CE" w:rsidRPr="00E51580" w:rsidRDefault="001935CE" w:rsidP="00E5158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Right Forelimb</w:t>
            </w:r>
          </w:p>
        </w:tc>
        <w:tc>
          <w:tcPr>
            <w:tcW w:w="3240" w:type="dxa"/>
            <w:noWrap/>
            <w:vAlign w:val="center"/>
            <w:hideMark/>
          </w:tcPr>
          <w:p w14:paraId="2B6851CD" w14:textId="77777777" w:rsidR="001935CE" w:rsidRPr="009F0B7F" w:rsidRDefault="001935CE" w:rsidP="00E51580">
            <w:pPr>
              <w:spacing w:after="0" w:line="240" w:lineRule="auto"/>
              <w:jc w:val="center"/>
              <w:rPr>
                <w:rFonts w:ascii="Arial" w:eastAsia="Times New Roman" w:hAnsi="Arial" w:cs="Arial"/>
                <w:b/>
                <w:bCs/>
                <w:color w:val="000000"/>
                <w:sz w:val="24"/>
                <w:szCs w:val="24"/>
              </w:rPr>
            </w:pPr>
            <w:r w:rsidRPr="009F0B7F">
              <w:rPr>
                <w:rFonts w:ascii="Arial" w:eastAsia="Times New Roman" w:hAnsi="Arial" w:cs="Arial"/>
                <w:b/>
                <w:bCs/>
                <w:color w:val="000000"/>
                <w:sz w:val="24"/>
                <w:szCs w:val="24"/>
              </w:rPr>
              <w:t>Metacarpophalangeal</w:t>
            </w:r>
          </w:p>
        </w:tc>
        <w:tc>
          <w:tcPr>
            <w:tcW w:w="2198" w:type="dxa"/>
            <w:noWrap/>
            <w:vAlign w:val="center"/>
            <w:hideMark/>
          </w:tcPr>
          <w:p w14:paraId="5C16E0AA" w14:textId="77777777" w:rsidR="001935CE" w:rsidRPr="009F0B7F" w:rsidRDefault="001935CE" w:rsidP="00E51580">
            <w:pPr>
              <w:spacing w:after="0" w:line="240" w:lineRule="auto"/>
              <w:jc w:val="center"/>
              <w:rPr>
                <w:rFonts w:ascii="Arial" w:eastAsia="Times New Roman" w:hAnsi="Arial" w:cs="Arial"/>
                <w:b/>
                <w:bCs/>
                <w:color w:val="000000"/>
                <w:sz w:val="24"/>
                <w:szCs w:val="24"/>
              </w:rPr>
            </w:pPr>
            <w:r w:rsidRPr="009F0B7F">
              <w:rPr>
                <w:rFonts w:ascii="Arial" w:eastAsia="Times New Roman" w:hAnsi="Arial" w:cs="Arial"/>
                <w:b/>
                <w:bCs/>
                <w:color w:val="000000"/>
                <w:sz w:val="24"/>
                <w:szCs w:val="24"/>
              </w:rPr>
              <w:t>0</w:t>
            </w:r>
          </w:p>
        </w:tc>
      </w:tr>
      <w:tr w:rsidR="001935CE" w:rsidRPr="008E13CC" w14:paraId="083261C8" w14:textId="77777777" w:rsidTr="00E51580">
        <w:trPr>
          <w:trHeight w:val="302"/>
        </w:trPr>
        <w:tc>
          <w:tcPr>
            <w:tcW w:w="857" w:type="dxa"/>
            <w:vMerge/>
            <w:tcBorders>
              <w:right w:val="nil"/>
            </w:tcBorders>
            <w:vAlign w:val="center"/>
            <w:hideMark/>
          </w:tcPr>
          <w:p w14:paraId="7C91E567"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val="restart"/>
            <w:tcBorders>
              <w:left w:val="nil"/>
            </w:tcBorders>
            <w:vAlign w:val="center"/>
            <w:hideMark/>
          </w:tcPr>
          <w:p w14:paraId="041A953C"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Left</w:t>
            </w:r>
            <w:r>
              <w:rPr>
                <w:rFonts w:ascii="Arial" w:eastAsia="Times New Roman" w:hAnsi="Arial" w:cs="Arial"/>
                <w:color w:val="000000"/>
                <w:sz w:val="24"/>
                <w:szCs w:val="24"/>
              </w:rPr>
              <w:t xml:space="preserve"> </w:t>
            </w:r>
            <w:r w:rsidRPr="00E51580">
              <w:rPr>
                <w:rFonts w:ascii="Arial" w:eastAsia="Times New Roman" w:hAnsi="Arial" w:cs="Arial"/>
                <w:color w:val="000000"/>
                <w:sz w:val="24"/>
                <w:szCs w:val="24"/>
              </w:rPr>
              <w:t>Hindlimb</w:t>
            </w:r>
          </w:p>
        </w:tc>
        <w:tc>
          <w:tcPr>
            <w:tcW w:w="3240" w:type="dxa"/>
            <w:noWrap/>
            <w:vAlign w:val="center"/>
            <w:hideMark/>
          </w:tcPr>
          <w:p w14:paraId="0ADBD92B"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Distal Intertarsal</w:t>
            </w:r>
          </w:p>
        </w:tc>
        <w:tc>
          <w:tcPr>
            <w:tcW w:w="2198" w:type="dxa"/>
            <w:noWrap/>
            <w:vAlign w:val="center"/>
            <w:hideMark/>
          </w:tcPr>
          <w:p w14:paraId="2F270D34"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1</w:t>
            </w:r>
          </w:p>
        </w:tc>
      </w:tr>
      <w:tr w:rsidR="001935CE" w:rsidRPr="008E13CC" w14:paraId="667E2C12" w14:textId="77777777" w:rsidTr="00E51580">
        <w:trPr>
          <w:trHeight w:val="302"/>
        </w:trPr>
        <w:tc>
          <w:tcPr>
            <w:tcW w:w="857" w:type="dxa"/>
            <w:vMerge/>
            <w:tcBorders>
              <w:right w:val="nil"/>
            </w:tcBorders>
            <w:vAlign w:val="center"/>
          </w:tcPr>
          <w:p w14:paraId="0FDDD9A0"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left w:val="nil"/>
            </w:tcBorders>
            <w:vAlign w:val="center"/>
          </w:tcPr>
          <w:p w14:paraId="4CF289CB"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tcPr>
          <w:p w14:paraId="0F9D1335"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Tarsometatarsal</w:t>
            </w:r>
          </w:p>
        </w:tc>
        <w:tc>
          <w:tcPr>
            <w:tcW w:w="2198" w:type="dxa"/>
            <w:noWrap/>
            <w:vAlign w:val="center"/>
          </w:tcPr>
          <w:p w14:paraId="17F67F4B" w14:textId="77777777" w:rsidR="001935CE" w:rsidRPr="00E51580" w:rsidRDefault="001935CE" w:rsidP="00E51580">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w:t>
            </w:r>
          </w:p>
        </w:tc>
      </w:tr>
      <w:tr w:rsidR="001935CE" w:rsidRPr="008E13CC" w14:paraId="212103DF" w14:textId="77777777" w:rsidTr="00E51580">
        <w:trPr>
          <w:trHeight w:val="302"/>
        </w:trPr>
        <w:tc>
          <w:tcPr>
            <w:tcW w:w="857" w:type="dxa"/>
            <w:vMerge/>
            <w:tcBorders>
              <w:right w:val="nil"/>
            </w:tcBorders>
            <w:vAlign w:val="center"/>
          </w:tcPr>
          <w:p w14:paraId="116DA7DA"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vMerge/>
            <w:tcBorders>
              <w:left w:val="nil"/>
            </w:tcBorders>
            <w:vAlign w:val="center"/>
          </w:tcPr>
          <w:p w14:paraId="36CD0C98"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3240" w:type="dxa"/>
            <w:noWrap/>
            <w:vAlign w:val="center"/>
          </w:tcPr>
          <w:p w14:paraId="7368F81C" w14:textId="77777777" w:rsidR="001935CE" w:rsidRPr="009F0B7F" w:rsidRDefault="001935CE" w:rsidP="00E51580">
            <w:pPr>
              <w:spacing w:after="0" w:line="240" w:lineRule="auto"/>
              <w:jc w:val="center"/>
              <w:rPr>
                <w:rFonts w:ascii="Arial" w:eastAsia="Times New Roman" w:hAnsi="Arial" w:cs="Arial"/>
                <w:b/>
                <w:bCs/>
                <w:color w:val="000000"/>
                <w:sz w:val="24"/>
                <w:szCs w:val="24"/>
              </w:rPr>
            </w:pPr>
            <w:r w:rsidRPr="009F0B7F">
              <w:rPr>
                <w:rFonts w:ascii="Arial" w:eastAsia="Times New Roman" w:hAnsi="Arial" w:cs="Arial"/>
                <w:b/>
                <w:bCs/>
                <w:color w:val="000000"/>
                <w:sz w:val="24"/>
                <w:szCs w:val="24"/>
              </w:rPr>
              <w:t>Tarsocrural</w:t>
            </w:r>
          </w:p>
        </w:tc>
        <w:tc>
          <w:tcPr>
            <w:tcW w:w="2198" w:type="dxa"/>
            <w:noWrap/>
            <w:vAlign w:val="center"/>
          </w:tcPr>
          <w:p w14:paraId="1D0342A9" w14:textId="77777777" w:rsidR="001935CE" w:rsidRPr="009F0B7F" w:rsidRDefault="001935CE" w:rsidP="00E51580">
            <w:pPr>
              <w:spacing w:after="0" w:line="240" w:lineRule="auto"/>
              <w:jc w:val="center"/>
              <w:rPr>
                <w:rFonts w:ascii="Arial" w:eastAsia="Times New Roman" w:hAnsi="Arial" w:cs="Arial"/>
                <w:b/>
                <w:bCs/>
                <w:color w:val="000000"/>
                <w:sz w:val="24"/>
                <w:szCs w:val="24"/>
              </w:rPr>
            </w:pPr>
            <w:r w:rsidRPr="009F0B7F">
              <w:rPr>
                <w:rFonts w:ascii="Arial" w:eastAsia="Times New Roman" w:hAnsi="Arial" w:cs="Arial"/>
                <w:b/>
                <w:bCs/>
                <w:color w:val="000000"/>
                <w:sz w:val="24"/>
                <w:szCs w:val="24"/>
              </w:rPr>
              <w:t>0</w:t>
            </w:r>
          </w:p>
        </w:tc>
      </w:tr>
      <w:tr w:rsidR="001935CE" w:rsidRPr="008E13CC" w14:paraId="4C19FBC9" w14:textId="77777777" w:rsidTr="00E51580">
        <w:trPr>
          <w:trHeight w:val="302"/>
        </w:trPr>
        <w:tc>
          <w:tcPr>
            <w:tcW w:w="857" w:type="dxa"/>
            <w:vMerge/>
            <w:tcBorders>
              <w:right w:val="nil"/>
            </w:tcBorders>
            <w:vAlign w:val="center"/>
            <w:hideMark/>
          </w:tcPr>
          <w:p w14:paraId="0A9E3784" w14:textId="77777777" w:rsidR="001935CE" w:rsidRPr="00E51580" w:rsidRDefault="001935CE" w:rsidP="00E51580">
            <w:pPr>
              <w:spacing w:after="0" w:line="240" w:lineRule="auto"/>
              <w:jc w:val="center"/>
              <w:rPr>
                <w:rFonts w:ascii="Arial" w:eastAsia="Times New Roman" w:hAnsi="Arial" w:cs="Arial"/>
                <w:color w:val="000000"/>
                <w:sz w:val="24"/>
                <w:szCs w:val="24"/>
              </w:rPr>
            </w:pPr>
          </w:p>
        </w:tc>
        <w:tc>
          <w:tcPr>
            <w:tcW w:w="2828" w:type="dxa"/>
            <w:tcBorders>
              <w:left w:val="nil"/>
            </w:tcBorders>
            <w:noWrap/>
            <w:vAlign w:val="center"/>
            <w:hideMark/>
          </w:tcPr>
          <w:p w14:paraId="72C46A96"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Right Hindlimb</w:t>
            </w:r>
          </w:p>
        </w:tc>
        <w:tc>
          <w:tcPr>
            <w:tcW w:w="3240" w:type="dxa"/>
            <w:noWrap/>
            <w:vAlign w:val="center"/>
            <w:hideMark/>
          </w:tcPr>
          <w:p w14:paraId="743A0010"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Tarsometatarsal</w:t>
            </w:r>
          </w:p>
        </w:tc>
        <w:tc>
          <w:tcPr>
            <w:tcW w:w="2198" w:type="dxa"/>
            <w:noWrap/>
            <w:vAlign w:val="center"/>
            <w:hideMark/>
          </w:tcPr>
          <w:p w14:paraId="70216483" w14:textId="77777777" w:rsidR="001935CE" w:rsidRPr="00E51580" w:rsidRDefault="001935CE" w:rsidP="00E51580">
            <w:pPr>
              <w:spacing w:after="0" w:line="240" w:lineRule="auto"/>
              <w:jc w:val="center"/>
              <w:rPr>
                <w:rFonts w:ascii="Arial" w:eastAsia="Times New Roman" w:hAnsi="Arial" w:cs="Arial"/>
                <w:color w:val="000000"/>
                <w:sz w:val="24"/>
                <w:szCs w:val="24"/>
              </w:rPr>
            </w:pPr>
            <w:r w:rsidRPr="00E51580">
              <w:rPr>
                <w:rFonts w:ascii="Arial" w:eastAsia="Times New Roman" w:hAnsi="Arial" w:cs="Arial"/>
                <w:color w:val="000000"/>
                <w:sz w:val="24"/>
                <w:szCs w:val="24"/>
              </w:rPr>
              <w:t>1</w:t>
            </w:r>
          </w:p>
        </w:tc>
      </w:tr>
    </w:tbl>
    <w:p w14:paraId="4B80A852" w14:textId="77777777" w:rsidR="00562719" w:rsidRDefault="00562719" w:rsidP="008C2587">
      <w:pPr>
        <w:rPr>
          <w:rFonts w:ascii="Arial" w:hAnsi="Arial" w:cs="Arial"/>
          <w:sz w:val="24"/>
          <w:szCs w:val="24"/>
        </w:rPr>
      </w:pPr>
    </w:p>
    <w:p w14:paraId="11A155DA" w14:textId="725F4255" w:rsidR="00EF4E7C" w:rsidRPr="008E13CC" w:rsidRDefault="008C2587" w:rsidP="00246D22">
      <w:pPr>
        <w:spacing w:after="0" w:line="240" w:lineRule="auto"/>
        <w:rPr>
          <w:rFonts w:ascii="Arial" w:hAnsi="Arial" w:cs="Arial"/>
          <w:sz w:val="24"/>
          <w:szCs w:val="24"/>
        </w:rPr>
      </w:pPr>
      <w:r w:rsidRPr="008E13CC">
        <w:rPr>
          <w:rFonts w:ascii="Arial" w:hAnsi="Arial" w:cs="Arial"/>
          <w:sz w:val="24"/>
          <w:szCs w:val="24"/>
        </w:rPr>
        <w:t>Fig 2. Oxylipins analyzed in plasma and synovial fluid.</w:t>
      </w:r>
    </w:p>
    <w:tbl>
      <w:tblPr>
        <w:tblW w:w="3600" w:type="dxa"/>
        <w:tblLook w:val="04A0" w:firstRow="1" w:lastRow="0" w:firstColumn="1" w:lastColumn="0" w:noHBand="0" w:noVBand="1"/>
      </w:tblPr>
      <w:tblGrid>
        <w:gridCol w:w="1800"/>
        <w:gridCol w:w="1800"/>
      </w:tblGrid>
      <w:tr w:rsidR="008C2587" w:rsidRPr="008E13CC" w14:paraId="373C2DCC" w14:textId="77777777" w:rsidTr="00E51580">
        <w:trPr>
          <w:trHeight w:val="20"/>
        </w:trPr>
        <w:tc>
          <w:tcPr>
            <w:tcW w:w="1800" w:type="dxa"/>
            <w:tcBorders>
              <w:top w:val="single" w:sz="4" w:space="0" w:color="000000"/>
              <w:left w:val="single" w:sz="4" w:space="0" w:color="000000"/>
              <w:bottom w:val="single" w:sz="4" w:space="0" w:color="000000"/>
              <w:right w:val="nil"/>
            </w:tcBorders>
            <w:shd w:val="clear" w:color="000000" w:fill="000000"/>
            <w:noWrap/>
            <w:vAlign w:val="bottom"/>
            <w:hideMark/>
          </w:tcPr>
          <w:p w14:paraId="4ACD13E2" w14:textId="77777777" w:rsidR="008C2587" w:rsidRPr="00810199" w:rsidRDefault="008C2587" w:rsidP="00E51580">
            <w:pPr>
              <w:spacing w:after="0" w:line="240" w:lineRule="auto"/>
              <w:jc w:val="center"/>
              <w:rPr>
                <w:rFonts w:ascii="Arial" w:eastAsia="Times New Roman" w:hAnsi="Arial" w:cs="Arial"/>
                <w:b/>
                <w:bCs/>
                <w:color w:val="FFFFFF"/>
                <w:sz w:val="11"/>
                <w:szCs w:val="11"/>
              </w:rPr>
            </w:pPr>
            <w:r w:rsidRPr="00810199">
              <w:rPr>
                <w:rFonts w:ascii="Arial" w:eastAsia="Times New Roman" w:hAnsi="Arial" w:cs="Arial"/>
                <w:b/>
                <w:bCs/>
                <w:color w:val="FFFFFF"/>
                <w:sz w:val="11"/>
                <w:szCs w:val="11"/>
              </w:rPr>
              <w:t>Plasma Oxylipins</w:t>
            </w:r>
          </w:p>
        </w:tc>
        <w:tc>
          <w:tcPr>
            <w:tcW w:w="1800" w:type="dxa"/>
            <w:tcBorders>
              <w:top w:val="single" w:sz="4" w:space="0" w:color="000000"/>
              <w:left w:val="nil"/>
              <w:bottom w:val="single" w:sz="4" w:space="0" w:color="000000"/>
              <w:right w:val="single" w:sz="4" w:space="0" w:color="000000"/>
            </w:tcBorders>
            <w:shd w:val="clear" w:color="000000" w:fill="000000"/>
            <w:noWrap/>
            <w:vAlign w:val="bottom"/>
            <w:hideMark/>
          </w:tcPr>
          <w:p w14:paraId="388090B4" w14:textId="77777777" w:rsidR="008C2587" w:rsidRPr="00810199" w:rsidRDefault="008C2587" w:rsidP="00E51580">
            <w:pPr>
              <w:spacing w:after="0" w:line="240" w:lineRule="auto"/>
              <w:jc w:val="center"/>
              <w:rPr>
                <w:rFonts w:ascii="Arial" w:eastAsia="Times New Roman" w:hAnsi="Arial" w:cs="Arial"/>
                <w:b/>
                <w:bCs/>
                <w:color w:val="FFFFFF"/>
                <w:sz w:val="11"/>
                <w:szCs w:val="11"/>
              </w:rPr>
            </w:pPr>
            <w:r w:rsidRPr="00810199">
              <w:rPr>
                <w:rFonts w:ascii="Arial" w:eastAsia="Times New Roman" w:hAnsi="Arial" w:cs="Arial"/>
                <w:b/>
                <w:bCs/>
                <w:color w:val="FFFFFF"/>
                <w:sz w:val="11"/>
                <w:szCs w:val="11"/>
              </w:rPr>
              <w:t>Synovial Fluid Oxylipins</w:t>
            </w:r>
          </w:p>
        </w:tc>
      </w:tr>
      <w:tr w:rsidR="008C2587" w:rsidRPr="008E13CC" w14:paraId="04893059"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1AB5ADE0"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6-keto-PGF1a</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46DC17C8"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6-keto-PGF1a</w:t>
            </w:r>
          </w:p>
        </w:tc>
      </w:tr>
      <w:tr w:rsidR="008C2587" w:rsidRPr="008E13CC" w14:paraId="09673ECA"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1E106DE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15-deoxy_PGJ2</w:t>
            </w:r>
          </w:p>
        </w:tc>
        <w:tc>
          <w:tcPr>
            <w:tcW w:w="1800" w:type="dxa"/>
            <w:tcBorders>
              <w:top w:val="single" w:sz="4" w:space="0" w:color="auto"/>
              <w:left w:val="nil"/>
              <w:bottom w:val="single" w:sz="4" w:space="0" w:color="auto"/>
              <w:right w:val="single" w:sz="4" w:space="0" w:color="000000"/>
            </w:tcBorders>
            <w:noWrap/>
            <w:vAlign w:val="bottom"/>
            <w:hideMark/>
          </w:tcPr>
          <w:p w14:paraId="7754C06E"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15-deoxy_PGJ2</w:t>
            </w:r>
          </w:p>
        </w:tc>
      </w:tr>
      <w:tr w:rsidR="008C2587" w:rsidRPr="008E13CC" w14:paraId="2E3F2F85"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58E08467"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9,12,13-TriHOME</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3844460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9,12,13-TriHOME</w:t>
            </w:r>
          </w:p>
        </w:tc>
      </w:tr>
      <w:tr w:rsidR="008C2587" w:rsidRPr="008E13CC" w14:paraId="05724DC2"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490EC4E7"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8,15-DiHETE</w:t>
            </w:r>
          </w:p>
        </w:tc>
        <w:tc>
          <w:tcPr>
            <w:tcW w:w="1800" w:type="dxa"/>
            <w:tcBorders>
              <w:top w:val="single" w:sz="4" w:space="0" w:color="auto"/>
              <w:left w:val="nil"/>
              <w:bottom w:val="single" w:sz="4" w:space="0" w:color="auto"/>
              <w:right w:val="single" w:sz="4" w:space="0" w:color="000000"/>
            </w:tcBorders>
            <w:noWrap/>
            <w:vAlign w:val="bottom"/>
            <w:hideMark/>
          </w:tcPr>
          <w:p w14:paraId="56A4A59D"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8,15-DiHETE</w:t>
            </w:r>
          </w:p>
        </w:tc>
      </w:tr>
      <w:tr w:rsidR="008C2587" w:rsidRPr="008E13CC" w14:paraId="079A99D4"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0D1DB72A"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RvE2</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480875C3"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RvE2</w:t>
            </w:r>
          </w:p>
        </w:tc>
      </w:tr>
      <w:tr w:rsidR="008C2587" w:rsidRPr="008E13CC" w14:paraId="2E6DBEA0"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510C0147"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13-HODE</w:t>
            </w:r>
          </w:p>
        </w:tc>
        <w:tc>
          <w:tcPr>
            <w:tcW w:w="1800" w:type="dxa"/>
            <w:tcBorders>
              <w:top w:val="single" w:sz="4" w:space="0" w:color="auto"/>
              <w:left w:val="nil"/>
              <w:bottom w:val="single" w:sz="4" w:space="0" w:color="auto"/>
              <w:right w:val="single" w:sz="4" w:space="0" w:color="000000"/>
            </w:tcBorders>
            <w:noWrap/>
            <w:vAlign w:val="bottom"/>
            <w:hideMark/>
          </w:tcPr>
          <w:p w14:paraId="5499E18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13-HODE</w:t>
            </w:r>
          </w:p>
        </w:tc>
      </w:tr>
      <w:tr w:rsidR="008C2587" w:rsidRPr="008E13CC" w14:paraId="4FF460E7"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4336DE03"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9-HODE</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2AEFE36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9-HODE</w:t>
            </w:r>
          </w:p>
        </w:tc>
      </w:tr>
      <w:tr w:rsidR="008C2587" w:rsidRPr="008E13CC" w14:paraId="01A93FB3"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6D36605F"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12-HODE</w:t>
            </w:r>
          </w:p>
        </w:tc>
        <w:tc>
          <w:tcPr>
            <w:tcW w:w="1800" w:type="dxa"/>
            <w:tcBorders>
              <w:top w:val="single" w:sz="4" w:space="0" w:color="auto"/>
              <w:left w:val="nil"/>
              <w:bottom w:val="single" w:sz="4" w:space="0" w:color="auto"/>
              <w:right w:val="single" w:sz="4" w:space="0" w:color="000000"/>
            </w:tcBorders>
            <w:noWrap/>
            <w:vAlign w:val="bottom"/>
            <w:hideMark/>
          </w:tcPr>
          <w:p w14:paraId="5A1C104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12-HODE</w:t>
            </w:r>
          </w:p>
        </w:tc>
      </w:tr>
      <w:tr w:rsidR="008C2587" w:rsidRPr="008E13CC" w14:paraId="52361583"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54FD6994"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10-HODE</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18C82B69"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10-HODE</w:t>
            </w:r>
          </w:p>
        </w:tc>
      </w:tr>
      <w:tr w:rsidR="008C2587" w:rsidRPr="008E13CC" w14:paraId="5D218F6F"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7FE42F88"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9-HpODE_(screen)</w:t>
            </w:r>
          </w:p>
        </w:tc>
        <w:tc>
          <w:tcPr>
            <w:tcW w:w="1800" w:type="dxa"/>
            <w:tcBorders>
              <w:top w:val="single" w:sz="4" w:space="0" w:color="auto"/>
              <w:left w:val="nil"/>
              <w:bottom w:val="single" w:sz="4" w:space="0" w:color="auto"/>
              <w:right w:val="single" w:sz="4" w:space="0" w:color="000000"/>
            </w:tcBorders>
            <w:noWrap/>
            <w:vAlign w:val="bottom"/>
            <w:hideMark/>
          </w:tcPr>
          <w:p w14:paraId="700078A7"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9-HpODE_(screen)</w:t>
            </w:r>
          </w:p>
        </w:tc>
      </w:tr>
      <w:tr w:rsidR="008C2587" w:rsidRPr="008E13CC" w14:paraId="189E6E14"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6B887D6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13-HpODE_(screen)</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6E3F975B"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13-HpODE_(screen)</w:t>
            </w:r>
          </w:p>
        </w:tc>
      </w:tr>
      <w:tr w:rsidR="008C2587" w:rsidRPr="008E13CC" w14:paraId="7F05C900"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10F1BE0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9-HOTE</w:t>
            </w:r>
          </w:p>
        </w:tc>
        <w:tc>
          <w:tcPr>
            <w:tcW w:w="1800" w:type="dxa"/>
            <w:tcBorders>
              <w:top w:val="single" w:sz="4" w:space="0" w:color="auto"/>
              <w:left w:val="nil"/>
              <w:bottom w:val="single" w:sz="4" w:space="0" w:color="auto"/>
              <w:right w:val="single" w:sz="4" w:space="0" w:color="000000"/>
            </w:tcBorders>
            <w:noWrap/>
            <w:vAlign w:val="bottom"/>
            <w:hideMark/>
          </w:tcPr>
          <w:p w14:paraId="2513ADF8"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9-HOTE</w:t>
            </w:r>
          </w:p>
        </w:tc>
      </w:tr>
      <w:tr w:rsidR="008C2587" w:rsidRPr="008E13CC" w14:paraId="4596EE55"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1BFCF0E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13-HOTE</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51B2709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13-HOTE</w:t>
            </w:r>
          </w:p>
        </w:tc>
      </w:tr>
      <w:tr w:rsidR="008C2587" w:rsidRPr="008E13CC" w14:paraId="2F832280"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4A420EAA"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15-HETE</w:t>
            </w:r>
          </w:p>
        </w:tc>
        <w:tc>
          <w:tcPr>
            <w:tcW w:w="1800" w:type="dxa"/>
            <w:tcBorders>
              <w:top w:val="single" w:sz="4" w:space="0" w:color="auto"/>
              <w:left w:val="nil"/>
              <w:bottom w:val="single" w:sz="4" w:space="0" w:color="auto"/>
              <w:right w:val="single" w:sz="4" w:space="0" w:color="000000"/>
            </w:tcBorders>
            <w:noWrap/>
            <w:vAlign w:val="bottom"/>
            <w:hideMark/>
          </w:tcPr>
          <w:p w14:paraId="63397D27"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15-HETE</w:t>
            </w:r>
          </w:p>
        </w:tc>
      </w:tr>
      <w:tr w:rsidR="008C2587" w:rsidRPr="008E13CC" w14:paraId="554BA6EA"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54CF6077"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12-HETE</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32B49883"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12-HETE</w:t>
            </w:r>
          </w:p>
        </w:tc>
      </w:tr>
      <w:tr w:rsidR="008C2587" w:rsidRPr="008E13CC" w14:paraId="09B75AE4"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524F4A3B"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12-HEPE</w:t>
            </w:r>
          </w:p>
        </w:tc>
        <w:tc>
          <w:tcPr>
            <w:tcW w:w="1800" w:type="dxa"/>
            <w:tcBorders>
              <w:top w:val="single" w:sz="4" w:space="0" w:color="auto"/>
              <w:left w:val="nil"/>
              <w:bottom w:val="single" w:sz="4" w:space="0" w:color="auto"/>
              <w:right w:val="single" w:sz="4" w:space="0" w:color="000000"/>
            </w:tcBorders>
            <w:noWrap/>
            <w:vAlign w:val="bottom"/>
            <w:hideMark/>
          </w:tcPr>
          <w:p w14:paraId="46DF9080"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12-HEPE</w:t>
            </w:r>
          </w:p>
        </w:tc>
      </w:tr>
      <w:tr w:rsidR="008C2587" w:rsidRPr="008E13CC" w14:paraId="179D9432"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5A268EE1"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5-HETE</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14443478"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5-HETE</w:t>
            </w:r>
          </w:p>
        </w:tc>
      </w:tr>
      <w:tr w:rsidR="008C2587" w:rsidRPr="008E13CC" w14:paraId="2875DDFF"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134B094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20-HETE</w:t>
            </w:r>
          </w:p>
        </w:tc>
        <w:tc>
          <w:tcPr>
            <w:tcW w:w="1800" w:type="dxa"/>
            <w:tcBorders>
              <w:top w:val="single" w:sz="4" w:space="0" w:color="auto"/>
              <w:left w:val="nil"/>
              <w:bottom w:val="single" w:sz="4" w:space="0" w:color="auto"/>
              <w:right w:val="single" w:sz="4" w:space="0" w:color="000000"/>
            </w:tcBorders>
            <w:noWrap/>
            <w:vAlign w:val="bottom"/>
            <w:hideMark/>
          </w:tcPr>
          <w:p w14:paraId="40AF845E"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20-HETE</w:t>
            </w:r>
          </w:p>
        </w:tc>
      </w:tr>
      <w:tr w:rsidR="008C2587" w:rsidRPr="008E13CC" w14:paraId="78464751"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4CD23CED"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w:t>
            </w:r>
            <w:proofErr w:type="spellStart"/>
            <w:r w:rsidRPr="00810199">
              <w:rPr>
                <w:rFonts w:ascii="Arial" w:eastAsia="Times New Roman" w:hAnsi="Arial" w:cs="Arial"/>
                <w:b/>
                <w:bCs/>
                <w:sz w:val="11"/>
                <w:szCs w:val="11"/>
              </w:rPr>
              <w:t>EpO</w:t>
            </w:r>
            <w:proofErr w:type="spellEnd"/>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38784044"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w:t>
            </w:r>
            <w:proofErr w:type="spellStart"/>
            <w:r w:rsidRPr="00810199">
              <w:rPr>
                <w:rFonts w:ascii="Arial" w:eastAsia="Times New Roman" w:hAnsi="Arial" w:cs="Arial"/>
                <w:b/>
                <w:bCs/>
                <w:sz w:val="11"/>
                <w:szCs w:val="11"/>
              </w:rPr>
              <w:t>EpO</w:t>
            </w:r>
            <w:proofErr w:type="spellEnd"/>
          </w:p>
        </w:tc>
      </w:tr>
      <w:tr w:rsidR="008C2587" w:rsidRPr="008E13CC" w14:paraId="008BAF79"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3B2AEDBB"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12(13)-</w:t>
            </w:r>
            <w:proofErr w:type="spellStart"/>
            <w:r w:rsidRPr="00810199">
              <w:rPr>
                <w:rFonts w:ascii="Arial" w:eastAsia="Times New Roman" w:hAnsi="Arial" w:cs="Arial"/>
                <w:b/>
                <w:bCs/>
                <w:sz w:val="11"/>
                <w:szCs w:val="11"/>
              </w:rPr>
              <w:t>EpOME</w:t>
            </w:r>
            <w:proofErr w:type="spellEnd"/>
          </w:p>
        </w:tc>
        <w:tc>
          <w:tcPr>
            <w:tcW w:w="1800" w:type="dxa"/>
            <w:tcBorders>
              <w:top w:val="single" w:sz="4" w:space="0" w:color="auto"/>
              <w:left w:val="nil"/>
              <w:bottom w:val="single" w:sz="4" w:space="0" w:color="auto"/>
              <w:right w:val="single" w:sz="4" w:space="0" w:color="000000"/>
            </w:tcBorders>
            <w:noWrap/>
            <w:vAlign w:val="bottom"/>
            <w:hideMark/>
          </w:tcPr>
          <w:p w14:paraId="78EEE9C9"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12(13)-</w:t>
            </w:r>
            <w:proofErr w:type="spellStart"/>
            <w:r w:rsidRPr="00810199">
              <w:rPr>
                <w:rFonts w:ascii="Arial" w:eastAsia="Times New Roman" w:hAnsi="Arial" w:cs="Arial"/>
                <w:b/>
                <w:bCs/>
                <w:sz w:val="11"/>
                <w:szCs w:val="11"/>
              </w:rPr>
              <w:t>EpOME</w:t>
            </w:r>
            <w:proofErr w:type="spellEnd"/>
          </w:p>
        </w:tc>
      </w:tr>
      <w:tr w:rsidR="008C2587" w:rsidRPr="008E13CC" w14:paraId="5F9CDC0C"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09D7543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w:t>
            </w:r>
            <w:proofErr w:type="spellStart"/>
            <w:r w:rsidRPr="00810199">
              <w:rPr>
                <w:rFonts w:ascii="Arial" w:eastAsia="Times New Roman" w:hAnsi="Arial" w:cs="Arial"/>
                <w:b/>
                <w:bCs/>
                <w:sz w:val="11"/>
                <w:szCs w:val="11"/>
              </w:rPr>
              <w:t>EpOME</w:t>
            </w:r>
            <w:proofErr w:type="spellEnd"/>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24C61EEB"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w:t>
            </w:r>
            <w:proofErr w:type="spellStart"/>
            <w:r w:rsidRPr="00810199">
              <w:rPr>
                <w:rFonts w:ascii="Arial" w:eastAsia="Times New Roman" w:hAnsi="Arial" w:cs="Arial"/>
                <w:b/>
                <w:bCs/>
                <w:sz w:val="11"/>
                <w:szCs w:val="11"/>
              </w:rPr>
              <w:t>EpOME</w:t>
            </w:r>
            <w:proofErr w:type="spellEnd"/>
          </w:p>
        </w:tc>
      </w:tr>
      <w:tr w:rsidR="008C2587" w:rsidRPr="008E13CC" w14:paraId="33541E17"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1FB2A32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15(16)-</w:t>
            </w:r>
            <w:proofErr w:type="spellStart"/>
            <w:r w:rsidRPr="00810199">
              <w:rPr>
                <w:rFonts w:ascii="Arial" w:eastAsia="Times New Roman" w:hAnsi="Arial" w:cs="Arial"/>
                <w:b/>
                <w:bCs/>
                <w:sz w:val="11"/>
                <w:szCs w:val="11"/>
              </w:rPr>
              <w:t>EpODE</w:t>
            </w:r>
            <w:proofErr w:type="spellEnd"/>
            <w:r w:rsidRPr="00810199">
              <w:rPr>
                <w:rFonts w:ascii="Arial" w:eastAsia="Times New Roman" w:hAnsi="Arial" w:cs="Arial"/>
                <w:b/>
                <w:bCs/>
                <w:sz w:val="11"/>
                <w:szCs w:val="11"/>
              </w:rPr>
              <w:t>_(screen)</w:t>
            </w:r>
          </w:p>
        </w:tc>
        <w:tc>
          <w:tcPr>
            <w:tcW w:w="1800" w:type="dxa"/>
            <w:tcBorders>
              <w:top w:val="single" w:sz="4" w:space="0" w:color="auto"/>
              <w:left w:val="nil"/>
              <w:bottom w:val="single" w:sz="4" w:space="0" w:color="auto"/>
              <w:right w:val="single" w:sz="4" w:space="0" w:color="000000"/>
            </w:tcBorders>
            <w:noWrap/>
            <w:vAlign w:val="bottom"/>
            <w:hideMark/>
          </w:tcPr>
          <w:p w14:paraId="232A92F2"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15(16)-</w:t>
            </w:r>
            <w:proofErr w:type="spellStart"/>
            <w:r w:rsidRPr="00810199">
              <w:rPr>
                <w:rFonts w:ascii="Arial" w:eastAsia="Times New Roman" w:hAnsi="Arial" w:cs="Arial"/>
                <w:b/>
                <w:bCs/>
                <w:sz w:val="11"/>
                <w:szCs w:val="11"/>
              </w:rPr>
              <w:t>EpODE</w:t>
            </w:r>
            <w:proofErr w:type="spellEnd"/>
            <w:r w:rsidRPr="00810199">
              <w:rPr>
                <w:rFonts w:ascii="Arial" w:eastAsia="Times New Roman" w:hAnsi="Arial" w:cs="Arial"/>
                <w:b/>
                <w:bCs/>
                <w:sz w:val="11"/>
                <w:szCs w:val="11"/>
              </w:rPr>
              <w:t>_(screen)</w:t>
            </w:r>
          </w:p>
        </w:tc>
      </w:tr>
      <w:tr w:rsidR="008C2587" w:rsidRPr="008E13CC" w14:paraId="3C7F6037"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3D131978"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w:t>
            </w:r>
            <w:proofErr w:type="spellStart"/>
            <w:r w:rsidRPr="00810199">
              <w:rPr>
                <w:rFonts w:ascii="Arial" w:eastAsia="Times New Roman" w:hAnsi="Arial" w:cs="Arial"/>
                <w:b/>
                <w:bCs/>
                <w:sz w:val="11"/>
                <w:szCs w:val="11"/>
              </w:rPr>
              <w:t>EpODE</w:t>
            </w:r>
            <w:proofErr w:type="spellEnd"/>
            <w:r w:rsidRPr="00810199">
              <w:rPr>
                <w:rFonts w:ascii="Arial" w:eastAsia="Times New Roman" w:hAnsi="Arial" w:cs="Arial"/>
                <w:b/>
                <w:bCs/>
                <w:sz w:val="11"/>
                <w:szCs w:val="11"/>
              </w:rPr>
              <w:t>_(screen)</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20C4E484"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w:t>
            </w:r>
            <w:proofErr w:type="spellStart"/>
            <w:r w:rsidRPr="00810199">
              <w:rPr>
                <w:rFonts w:ascii="Arial" w:eastAsia="Times New Roman" w:hAnsi="Arial" w:cs="Arial"/>
                <w:b/>
                <w:bCs/>
                <w:sz w:val="11"/>
                <w:szCs w:val="11"/>
              </w:rPr>
              <w:t>EpODE</w:t>
            </w:r>
            <w:proofErr w:type="spellEnd"/>
            <w:r w:rsidRPr="00810199">
              <w:rPr>
                <w:rFonts w:ascii="Arial" w:eastAsia="Times New Roman" w:hAnsi="Arial" w:cs="Arial"/>
                <w:b/>
                <w:bCs/>
                <w:sz w:val="11"/>
                <w:szCs w:val="11"/>
              </w:rPr>
              <w:t>_(screen)</w:t>
            </w:r>
          </w:p>
        </w:tc>
      </w:tr>
      <w:tr w:rsidR="008C2587" w:rsidRPr="008E13CC" w14:paraId="7D27E63D"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7D9AE3A9"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12(13)-</w:t>
            </w:r>
            <w:proofErr w:type="spellStart"/>
            <w:r w:rsidRPr="00810199">
              <w:rPr>
                <w:rFonts w:ascii="Arial" w:eastAsia="Times New Roman" w:hAnsi="Arial" w:cs="Arial"/>
                <w:b/>
                <w:bCs/>
                <w:sz w:val="11"/>
                <w:szCs w:val="11"/>
              </w:rPr>
              <w:t>EpODE</w:t>
            </w:r>
            <w:proofErr w:type="spellEnd"/>
            <w:r w:rsidRPr="00810199">
              <w:rPr>
                <w:rFonts w:ascii="Arial" w:eastAsia="Times New Roman" w:hAnsi="Arial" w:cs="Arial"/>
                <w:b/>
                <w:bCs/>
                <w:sz w:val="11"/>
                <w:szCs w:val="11"/>
              </w:rPr>
              <w:t>_(screen)</w:t>
            </w:r>
          </w:p>
        </w:tc>
        <w:tc>
          <w:tcPr>
            <w:tcW w:w="1800" w:type="dxa"/>
            <w:tcBorders>
              <w:top w:val="single" w:sz="4" w:space="0" w:color="auto"/>
              <w:left w:val="nil"/>
              <w:bottom w:val="single" w:sz="4" w:space="0" w:color="auto"/>
              <w:right w:val="single" w:sz="4" w:space="0" w:color="000000"/>
            </w:tcBorders>
            <w:noWrap/>
            <w:vAlign w:val="bottom"/>
            <w:hideMark/>
          </w:tcPr>
          <w:p w14:paraId="3A1CC7C0"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12(13)-</w:t>
            </w:r>
            <w:proofErr w:type="spellStart"/>
            <w:r w:rsidRPr="00810199">
              <w:rPr>
                <w:rFonts w:ascii="Arial" w:eastAsia="Times New Roman" w:hAnsi="Arial" w:cs="Arial"/>
                <w:b/>
                <w:bCs/>
                <w:sz w:val="11"/>
                <w:szCs w:val="11"/>
              </w:rPr>
              <w:t>EpODE</w:t>
            </w:r>
            <w:proofErr w:type="spellEnd"/>
            <w:r w:rsidRPr="00810199">
              <w:rPr>
                <w:rFonts w:ascii="Arial" w:eastAsia="Times New Roman" w:hAnsi="Arial" w:cs="Arial"/>
                <w:b/>
                <w:bCs/>
                <w:sz w:val="11"/>
                <w:szCs w:val="11"/>
              </w:rPr>
              <w:t>_(screen)</w:t>
            </w:r>
          </w:p>
        </w:tc>
      </w:tr>
      <w:tr w:rsidR="008C2587" w:rsidRPr="008E13CC" w14:paraId="26659CDE"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7EB8BC0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12,13-DiHOME</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10123AC7"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12,13-DiHOME</w:t>
            </w:r>
          </w:p>
        </w:tc>
      </w:tr>
      <w:tr w:rsidR="008C2587" w:rsidRPr="008E13CC" w14:paraId="285F683D"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233FA972"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9,10-DiHOME</w:t>
            </w:r>
          </w:p>
        </w:tc>
        <w:tc>
          <w:tcPr>
            <w:tcW w:w="1800" w:type="dxa"/>
            <w:tcBorders>
              <w:top w:val="single" w:sz="4" w:space="0" w:color="auto"/>
              <w:left w:val="nil"/>
              <w:bottom w:val="single" w:sz="4" w:space="0" w:color="auto"/>
              <w:right w:val="single" w:sz="4" w:space="0" w:color="000000"/>
            </w:tcBorders>
            <w:noWrap/>
            <w:vAlign w:val="bottom"/>
            <w:hideMark/>
          </w:tcPr>
          <w:p w14:paraId="5C54481D"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9,10-DiHOME</w:t>
            </w:r>
          </w:p>
        </w:tc>
      </w:tr>
      <w:tr w:rsidR="008C2587" w:rsidRPr="008E13CC" w14:paraId="7DEAF4FC"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6F2EAE9E"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15,16-DiHODE_(screen)</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6CEDE80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15,16-DiHODE_(screen)</w:t>
            </w:r>
          </w:p>
        </w:tc>
      </w:tr>
      <w:tr w:rsidR="008C2587" w:rsidRPr="008E13CC" w14:paraId="6AB901F4"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39C55A6A"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12,13-DiHODE_(screen)</w:t>
            </w:r>
          </w:p>
        </w:tc>
        <w:tc>
          <w:tcPr>
            <w:tcW w:w="1800" w:type="dxa"/>
            <w:tcBorders>
              <w:top w:val="single" w:sz="4" w:space="0" w:color="auto"/>
              <w:left w:val="nil"/>
              <w:bottom w:val="single" w:sz="4" w:space="0" w:color="auto"/>
              <w:right w:val="single" w:sz="4" w:space="0" w:color="000000"/>
            </w:tcBorders>
            <w:noWrap/>
            <w:vAlign w:val="bottom"/>
            <w:hideMark/>
          </w:tcPr>
          <w:p w14:paraId="632A5984"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12,13-DiHODE_(screen)</w:t>
            </w:r>
          </w:p>
        </w:tc>
      </w:tr>
      <w:tr w:rsidR="008C2587" w:rsidRPr="008E13CC" w14:paraId="455453C7"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568CE82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9,10-DiHODE_(screen)</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76B2D2F7"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9,10-DiHODE_(screen)</w:t>
            </w:r>
          </w:p>
        </w:tc>
      </w:tr>
      <w:tr w:rsidR="008C2587" w:rsidRPr="008E13CC" w14:paraId="6D3952F9"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4F1ED17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9,10-DiHOME:9(10)-</w:t>
            </w:r>
            <w:proofErr w:type="spellStart"/>
            <w:r w:rsidRPr="00810199">
              <w:rPr>
                <w:rFonts w:ascii="Arial" w:eastAsia="Times New Roman" w:hAnsi="Arial" w:cs="Arial"/>
                <w:b/>
                <w:bCs/>
                <w:sz w:val="11"/>
                <w:szCs w:val="11"/>
              </w:rPr>
              <w:t>EpOME</w:t>
            </w:r>
            <w:proofErr w:type="spellEnd"/>
          </w:p>
        </w:tc>
        <w:tc>
          <w:tcPr>
            <w:tcW w:w="1800" w:type="dxa"/>
            <w:tcBorders>
              <w:top w:val="single" w:sz="4" w:space="0" w:color="auto"/>
              <w:left w:val="nil"/>
              <w:bottom w:val="single" w:sz="4" w:space="0" w:color="auto"/>
              <w:right w:val="single" w:sz="4" w:space="0" w:color="000000"/>
            </w:tcBorders>
            <w:noWrap/>
            <w:vAlign w:val="bottom"/>
            <w:hideMark/>
          </w:tcPr>
          <w:p w14:paraId="6C5753DE"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9,10-DiHOME:9(10)-</w:t>
            </w:r>
            <w:proofErr w:type="spellStart"/>
            <w:r w:rsidRPr="00810199">
              <w:rPr>
                <w:rFonts w:ascii="Arial" w:eastAsia="Times New Roman" w:hAnsi="Arial" w:cs="Arial"/>
                <w:b/>
                <w:bCs/>
                <w:sz w:val="11"/>
                <w:szCs w:val="11"/>
              </w:rPr>
              <w:t>EpOME</w:t>
            </w:r>
            <w:proofErr w:type="spellEnd"/>
          </w:p>
        </w:tc>
      </w:tr>
      <w:tr w:rsidR="008C2587" w:rsidRPr="008E13CC" w14:paraId="188DED4E"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4B3106E1"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12,13-DiHOME:12(13)-</w:t>
            </w:r>
            <w:proofErr w:type="spellStart"/>
            <w:r w:rsidRPr="00810199">
              <w:rPr>
                <w:rFonts w:ascii="Arial" w:eastAsia="Times New Roman" w:hAnsi="Arial" w:cs="Arial"/>
                <w:b/>
                <w:bCs/>
                <w:sz w:val="11"/>
                <w:szCs w:val="11"/>
              </w:rPr>
              <w:t>EpOME</w:t>
            </w:r>
            <w:proofErr w:type="spellEnd"/>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32E1B949"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12,13-DiHOME:12(13)-</w:t>
            </w:r>
            <w:proofErr w:type="spellStart"/>
            <w:r w:rsidRPr="00810199">
              <w:rPr>
                <w:rFonts w:ascii="Arial" w:eastAsia="Times New Roman" w:hAnsi="Arial" w:cs="Arial"/>
                <w:b/>
                <w:bCs/>
                <w:sz w:val="11"/>
                <w:szCs w:val="11"/>
              </w:rPr>
              <w:t>EpOME</w:t>
            </w:r>
            <w:proofErr w:type="spellEnd"/>
          </w:p>
        </w:tc>
      </w:tr>
      <w:tr w:rsidR="008C2587" w:rsidRPr="008E13CC" w14:paraId="6E6F9787"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17D57D44"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lastRenderedPageBreak/>
              <w:t>15,16-DiHODE:15(16)-</w:t>
            </w:r>
            <w:proofErr w:type="spellStart"/>
            <w:r w:rsidRPr="00810199">
              <w:rPr>
                <w:rFonts w:ascii="Arial" w:eastAsia="Times New Roman" w:hAnsi="Arial" w:cs="Arial"/>
                <w:b/>
                <w:bCs/>
                <w:sz w:val="11"/>
                <w:szCs w:val="11"/>
              </w:rPr>
              <w:t>EpODE</w:t>
            </w:r>
            <w:proofErr w:type="spellEnd"/>
          </w:p>
        </w:tc>
        <w:tc>
          <w:tcPr>
            <w:tcW w:w="1800" w:type="dxa"/>
            <w:tcBorders>
              <w:top w:val="single" w:sz="4" w:space="0" w:color="auto"/>
              <w:left w:val="nil"/>
              <w:bottom w:val="single" w:sz="4" w:space="0" w:color="auto"/>
              <w:right w:val="single" w:sz="4" w:space="0" w:color="000000"/>
            </w:tcBorders>
            <w:noWrap/>
            <w:vAlign w:val="bottom"/>
            <w:hideMark/>
          </w:tcPr>
          <w:p w14:paraId="7433487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15,16-DiHODE:15(16)-</w:t>
            </w:r>
            <w:proofErr w:type="spellStart"/>
            <w:r w:rsidRPr="00810199">
              <w:rPr>
                <w:rFonts w:ascii="Arial" w:eastAsia="Times New Roman" w:hAnsi="Arial" w:cs="Arial"/>
                <w:b/>
                <w:bCs/>
                <w:sz w:val="11"/>
                <w:szCs w:val="11"/>
              </w:rPr>
              <w:t>EpODE</w:t>
            </w:r>
            <w:proofErr w:type="spellEnd"/>
          </w:p>
        </w:tc>
      </w:tr>
      <w:tr w:rsidR="008C2587" w:rsidRPr="008E13CC" w14:paraId="7BB81CC4"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4A150CF4"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9,10-DiHODE:9(10)-</w:t>
            </w:r>
            <w:proofErr w:type="spellStart"/>
            <w:r w:rsidRPr="00810199">
              <w:rPr>
                <w:rFonts w:ascii="Arial" w:eastAsia="Times New Roman" w:hAnsi="Arial" w:cs="Arial"/>
                <w:b/>
                <w:bCs/>
                <w:sz w:val="11"/>
                <w:szCs w:val="11"/>
              </w:rPr>
              <w:t>EpODE</w:t>
            </w:r>
            <w:proofErr w:type="spellEnd"/>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249ED0A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9,10-DiHODE:9(10)-</w:t>
            </w:r>
            <w:proofErr w:type="spellStart"/>
            <w:r w:rsidRPr="00810199">
              <w:rPr>
                <w:rFonts w:ascii="Arial" w:eastAsia="Times New Roman" w:hAnsi="Arial" w:cs="Arial"/>
                <w:b/>
                <w:bCs/>
                <w:sz w:val="11"/>
                <w:szCs w:val="11"/>
              </w:rPr>
              <w:t>EpODE</w:t>
            </w:r>
            <w:proofErr w:type="spellEnd"/>
          </w:p>
        </w:tc>
      </w:tr>
      <w:tr w:rsidR="008C2587" w:rsidRPr="008E13CC" w14:paraId="0225202D"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61347394"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12,13-DiHODE:12(13)-</w:t>
            </w:r>
            <w:proofErr w:type="spellStart"/>
            <w:r w:rsidRPr="00810199">
              <w:rPr>
                <w:rFonts w:ascii="Arial" w:eastAsia="Times New Roman" w:hAnsi="Arial" w:cs="Arial"/>
                <w:b/>
                <w:bCs/>
                <w:sz w:val="11"/>
                <w:szCs w:val="11"/>
              </w:rPr>
              <w:t>EpODE</w:t>
            </w:r>
            <w:proofErr w:type="spellEnd"/>
          </w:p>
        </w:tc>
        <w:tc>
          <w:tcPr>
            <w:tcW w:w="1800" w:type="dxa"/>
            <w:tcBorders>
              <w:top w:val="single" w:sz="4" w:space="0" w:color="auto"/>
              <w:left w:val="nil"/>
              <w:bottom w:val="single" w:sz="4" w:space="0" w:color="auto"/>
              <w:right w:val="single" w:sz="4" w:space="0" w:color="000000"/>
            </w:tcBorders>
            <w:noWrap/>
            <w:vAlign w:val="bottom"/>
            <w:hideMark/>
          </w:tcPr>
          <w:p w14:paraId="3442CFA8"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12,13-DiHODE:12(13)-</w:t>
            </w:r>
            <w:proofErr w:type="spellStart"/>
            <w:r w:rsidRPr="00810199">
              <w:rPr>
                <w:rFonts w:ascii="Arial" w:eastAsia="Times New Roman" w:hAnsi="Arial" w:cs="Arial"/>
                <w:b/>
                <w:bCs/>
                <w:sz w:val="11"/>
                <w:szCs w:val="11"/>
              </w:rPr>
              <w:t>EpODE</w:t>
            </w:r>
            <w:proofErr w:type="spellEnd"/>
          </w:p>
        </w:tc>
      </w:tr>
      <w:tr w:rsidR="008C2587" w:rsidRPr="008E13CC" w14:paraId="31AB3669"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654FFE0A"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14,15-DiHETrE</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48D1BF78"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14,15-DiHETrE</w:t>
            </w:r>
          </w:p>
        </w:tc>
      </w:tr>
      <w:tr w:rsidR="008C2587" w:rsidRPr="008E13CC" w14:paraId="710C984A"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10532F7E"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11,12-DiHETrE</w:t>
            </w:r>
          </w:p>
        </w:tc>
        <w:tc>
          <w:tcPr>
            <w:tcW w:w="1800" w:type="dxa"/>
            <w:tcBorders>
              <w:top w:val="single" w:sz="4" w:space="0" w:color="auto"/>
              <w:left w:val="nil"/>
              <w:bottom w:val="single" w:sz="4" w:space="0" w:color="auto"/>
              <w:right w:val="single" w:sz="4" w:space="0" w:color="000000"/>
            </w:tcBorders>
            <w:noWrap/>
            <w:vAlign w:val="bottom"/>
            <w:hideMark/>
          </w:tcPr>
          <w:p w14:paraId="6251A3FA"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11,12-DiHETrE</w:t>
            </w:r>
          </w:p>
        </w:tc>
      </w:tr>
      <w:tr w:rsidR="008C2587" w:rsidRPr="008E13CC" w14:paraId="6DE076EA"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0B3B535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17,18-DiHETE</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7DF9A94A"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17,18-DiHETE</w:t>
            </w:r>
          </w:p>
        </w:tc>
      </w:tr>
      <w:tr w:rsidR="008C2587" w:rsidRPr="008E13CC" w14:paraId="471419E9"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573ED29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14,15-DiHETE</w:t>
            </w:r>
          </w:p>
        </w:tc>
        <w:tc>
          <w:tcPr>
            <w:tcW w:w="1800" w:type="dxa"/>
            <w:tcBorders>
              <w:top w:val="single" w:sz="4" w:space="0" w:color="auto"/>
              <w:left w:val="nil"/>
              <w:bottom w:val="single" w:sz="4" w:space="0" w:color="auto"/>
              <w:right w:val="single" w:sz="4" w:space="0" w:color="000000"/>
            </w:tcBorders>
            <w:noWrap/>
            <w:vAlign w:val="bottom"/>
            <w:hideMark/>
          </w:tcPr>
          <w:p w14:paraId="2021ADC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14,15-DiHETE</w:t>
            </w:r>
          </w:p>
        </w:tc>
      </w:tr>
      <w:tr w:rsidR="008C2587" w:rsidRPr="008E13CC" w14:paraId="2508131C"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6932D41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18:2n6_(screen)</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5DFF4507"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18:2n6_(screen)</w:t>
            </w:r>
          </w:p>
        </w:tc>
      </w:tr>
      <w:tr w:rsidR="008C2587" w:rsidRPr="008E13CC" w14:paraId="0AAB8B8B"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41D1CC6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C18:3n3_(screen)</w:t>
            </w:r>
          </w:p>
        </w:tc>
        <w:tc>
          <w:tcPr>
            <w:tcW w:w="1800" w:type="dxa"/>
            <w:tcBorders>
              <w:top w:val="single" w:sz="4" w:space="0" w:color="auto"/>
              <w:left w:val="nil"/>
              <w:bottom w:val="single" w:sz="4" w:space="0" w:color="auto"/>
              <w:right w:val="single" w:sz="4" w:space="0" w:color="000000"/>
            </w:tcBorders>
            <w:noWrap/>
            <w:vAlign w:val="bottom"/>
            <w:hideMark/>
          </w:tcPr>
          <w:p w14:paraId="289C2E5E"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C18:3n3_(screen)</w:t>
            </w:r>
          </w:p>
        </w:tc>
      </w:tr>
      <w:tr w:rsidR="008C2587" w:rsidRPr="008E13CC" w14:paraId="448189F7"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7214FA3B"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C20:4n6_(screen)</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29D0A61E"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C20:4n6_(screen)</w:t>
            </w:r>
          </w:p>
        </w:tc>
      </w:tr>
      <w:tr w:rsidR="008C2587" w:rsidRPr="008E13CC" w14:paraId="4E47D76E"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3896A3FE"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C20:5n3_(screen)</w:t>
            </w:r>
          </w:p>
        </w:tc>
        <w:tc>
          <w:tcPr>
            <w:tcW w:w="1800" w:type="dxa"/>
            <w:tcBorders>
              <w:top w:val="single" w:sz="4" w:space="0" w:color="auto"/>
              <w:left w:val="nil"/>
              <w:bottom w:val="single" w:sz="4" w:space="0" w:color="auto"/>
              <w:right w:val="single" w:sz="4" w:space="0" w:color="000000"/>
            </w:tcBorders>
            <w:noWrap/>
            <w:vAlign w:val="bottom"/>
            <w:hideMark/>
          </w:tcPr>
          <w:p w14:paraId="061E2A42"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C20:5n3_(screen)</w:t>
            </w:r>
          </w:p>
        </w:tc>
      </w:tr>
      <w:tr w:rsidR="008C2587" w:rsidRPr="008E13CC" w14:paraId="5106A564"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35206C4E"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C22:6n3_(screen)</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37E7C1E8"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C22:6n3_(screen)</w:t>
            </w:r>
          </w:p>
        </w:tc>
      </w:tr>
      <w:tr w:rsidR="008C2587" w:rsidRPr="008E13CC" w14:paraId="1F994068"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0703CB71"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1+2-AG</w:t>
            </w:r>
          </w:p>
        </w:tc>
        <w:tc>
          <w:tcPr>
            <w:tcW w:w="1800" w:type="dxa"/>
            <w:tcBorders>
              <w:top w:val="single" w:sz="4" w:space="0" w:color="auto"/>
              <w:left w:val="nil"/>
              <w:bottom w:val="single" w:sz="4" w:space="0" w:color="auto"/>
              <w:right w:val="single" w:sz="4" w:space="0" w:color="000000"/>
            </w:tcBorders>
            <w:noWrap/>
            <w:vAlign w:val="bottom"/>
            <w:hideMark/>
          </w:tcPr>
          <w:p w14:paraId="37A066E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1+2-AG</w:t>
            </w:r>
          </w:p>
        </w:tc>
      </w:tr>
      <w:tr w:rsidR="008C2587" w:rsidRPr="008E13CC" w14:paraId="0B1DD17C"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554892FF"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1+2-LG</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5C3C29D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1+2-LG</w:t>
            </w:r>
          </w:p>
        </w:tc>
      </w:tr>
      <w:tr w:rsidR="008C2587" w:rsidRPr="008E13CC" w14:paraId="671978F1"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11FA3441"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1+2-OG</w:t>
            </w:r>
          </w:p>
        </w:tc>
        <w:tc>
          <w:tcPr>
            <w:tcW w:w="1800" w:type="dxa"/>
            <w:tcBorders>
              <w:top w:val="single" w:sz="4" w:space="0" w:color="auto"/>
              <w:left w:val="nil"/>
              <w:bottom w:val="single" w:sz="4" w:space="0" w:color="auto"/>
              <w:right w:val="single" w:sz="4" w:space="0" w:color="000000"/>
            </w:tcBorders>
            <w:noWrap/>
            <w:vAlign w:val="bottom"/>
            <w:hideMark/>
          </w:tcPr>
          <w:p w14:paraId="46B3498D"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1+2-OG</w:t>
            </w:r>
          </w:p>
        </w:tc>
      </w:tr>
      <w:tr w:rsidR="008C2587" w:rsidRPr="008E13CC" w14:paraId="599778A6" w14:textId="77777777" w:rsidTr="00E51580">
        <w:trPr>
          <w:trHeight w:val="20"/>
        </w:trPr>
        <w:tc>
          <w:tcPr>
            <w:tcW w:w="1800" w:type="dxa"/>
            <w:tcBorders>
              <w:top w:val="single" w:sz="4" w:space="0" w:color="000000"/>
              <w:left w:val="single" w:sz="4" w:space="0" w:color="000000"/>
              <w:bottom w:val="single" w:sz="4" w:space="0" w:color="auto"/>
              <w:right w:val="nil"/>
            </w:tcBorders>
            <w:shd w:val="clear" w:color="D9D9D9" w:fill="D9D9D9"/>
            <w:noWrap/>
            <w:vAlign w:val="bottom"/>
            <w:hideMark/>
          </w:tcPr>
          <w:p w14:paraId="5741A3C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N-16:1n7_EA</w:t>
            </w:r>
          </w:p>
        </w:tc>
        <w:tc>
          <w:tcPr>
            <w:tcW w:w="1800" w:type="dxa"/>
            <w:tcBorders>
              <w:top w:val="single" w:sz="4" w:space="0" w:color="000000"/>
              <w:left w:val="nil"/>
              <w:bottom w:val="single" w:sz="4" w:space="0" w:color="auto"/>
              <w:right w:val="single" w:sz="4" w:space="0" w:color="000000"/>
            </w:tcBorders>
            <w:shd w:val="clear" w:color="D9D9D9" w:fill="D9D9D9"/>
            <w:noWrap/>
            <w:vAlign w:val="bottom"/>
            <w:hideMark/>
          </w:tcPr>
          <w:p w14:paraId="0C349DD4"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N-16:1n7_EA</w:t>
            </w:r>
          </w:p>
        </w:tc>
      </w:tr>
      <w:tr w:rsidR="008C2587" w:rsidRPr="008E13CC" w14:paraId="10FA3B23" w14:textId="77777777" w:rsidTr="00E51580">
        <w:trPr>
          <w:trHeight w:val="20"/>
        </w:trPr>
        <w:tc>
          <w:tcPr>
            <w:tcW w:w="1800" w:type="dxa"/>
            <w:tcBorders>
              <w:top w:val="single" w:sz="4" w:space="0" w:color="000000"/>
              <w:left w:val="single" w:sz="4" w:space="0" w:color="000000"/>
              <w:bottom w:val="single" w:sz="4" w:space="0" w:color="auto"/>
              <w:right w:val="nil"/>
            </w:tcBorders>
            <w:noWrap/>
            <w:vAlign w:val="bottom"/>
            <w:hideMark/>
          </w:tcPr>
          <w:p w14:paraId="22FC5FB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N-C18:1n9_EA</w:t>
            </w:r>
          </w:p>
        </w:tc>
        <w:tc>
          <w:tcPr>
            <w:tcW w:w="1800" w:type="dxa"/>
            <w:tcBorders>
              <w:top w:val="single" w:sz="4" w:space="0" w:color="000000"/>
              <w:left w:val="nil"/>
              <w:bottom w:val="single" w:sz="4" w:space="0" w:color="auto"/>
              <w:right w:val="single" w:sz="4" w:space="0" w:color="000000"/>
            </w:tcBorders>
            <w:noWrap/>
            <w:vAlign w:val="bottom"/>
            <w:hideMark/>
          </w:tcPr>
          <w:p w14:paraId="46F06FB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N-C18:1n9_EA</w:t>
            </w:r>
          </w:p>
        </w:tc>
      </w:tr>
      <w:tr w:rsidR="008C2587" w:rsidRPr="008E13CC" w14:paraId="77BA7B52" w14:textId="77777777" w:rsidTr="00E51580">
        <w:trPr>
          <w:trHeight w:val="20"/>
        </w:trPr>
        <w:tc>
          <w:tcPr>
            <w:tcW w:w="1800" w:type="dxa"/>
            <w:tcBorders>
              <w:top w:val="single" w:sz="4" w:space="0" w:color="000000"/>
              <w:left w:val="single" w:sz="4" w:space="0" w:color="000000"/>
              <w:bottom w:val="single" w:sz="4" w:space="0" w:color="auto"/>
              <w:right w:val="nil"/>
            </w:tcBorders>
            <w:shd w:val="clear" w:color="D9D9D9" w:fill="D9D9D9"/>
            <w:noWrap/>
            <w:vAlign w:val="bottom"/>
            <w:hideMark/>
          </w:tcPr>
          <w:p w14:paraId="6ABB730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N-C20:4n6_EA</w:t>
            </w:r>
          </w:p>
        </w:tc>
        <w:tc>
          <w:tcPr>
            <w:tcW w:w="1800" w:type="dxa"/>
            <w:tcBorders>
              <w:top w:val="single" w:sz="4" w:space="0" w:color="000000"/>
              <w:left w:val="nil"/>
              <w:bottom w:val="single" w:sz="4" w:space="0" w:color="auto"/>
              <w:right w:val="single" w:sz="4" w:space="0" w:color="000000"/>
            </w:tcBorders>
            <w:shd w:val="clear" w:color="D9D9D9" w:fill="D9D9D9"/>
            <w:noWrap/>
            <w:vAlign w:val="bottom"/>
            <w:hideMark/>
          </w:tcPr>
          <w:p w14:paraId="343887B2"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N-C20:4n6_EA</w:t>
            </w:r>
          </w:p>
        </w:tc>
      </w:tr>
      <w:tr w:rsidR="008C2587" w:rsidRPr="008E13CC" w14:paraId="17951F1B" w14:textId="77777777" w:rsidTr="00E51580">
        <w:trPr>
          <w:trHeight w:val="20"/>
        </w:trPr>
        <w:tc>
          <w:tcPr>
            <w:tcW w:w="1800" w:type="dxa"/>
            <w:tcBorders>
              <w:top w:val="single" w:sz="4" w:space="0" w:color="000000"/>
              <w:left w:val="single" w:sz="4" w:space="0" w:color="000000"/>
              <w:bottom w:val="single" w:sz="4" w:space="0" w:color="auto"/>
              <w:right w:val="nil"/>
            </w:tcBorders>
            <w:noWrap/>
            <w:vAlign w:val="bottom"/>
            <w:hideMark/>
          </w:tcPr>
          <w:p w14:paraId="4819F9D1"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N-C18:1n9_Gly</w:t>
            </w:r>
          </w:p>
        </w:tc>
        <w:tc>
          <w:tcPr>
            <w:tcW w:w="1800" w:type="dxa"/>
            <w:tcBorders>
              <w:top w:val="single" w:sz="4" w:space="0" w:color="000000"/>
              <w:left w:val="nil"/>
              <w:bottom w:val="single" w:sz="4" w:space="0" w:color="auto"/>
              <w:right w:val="single" w:sz="4" w:space="0" w:color="000000"/>
            </w:tcBorders>
            <w:noWrap/>
            <w:vAlign w:val="bottom"/>
            <w:hideMark/>
          </w:tcPr>
          <w:p w14:paraId="2791988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N-C18:1n9_Gly</w:t>
            </w:r>
          </w:p>
        </w:tc>
      </w:tr>
      <w:tr w:rsidR="008C2587" w:rsidRPr="008E13CC" w14:paraId="074AE021" w14:textId="77777777" w:rsidTr="00E51580">
        <w:trPr>
          <w:trHeight w:val="20"/>
        </w:trPr>
        <w:tc>
          <w:tcPr>
            <w:tcW w:w="1800" w:type="dxa"/>
            <w:tcBorders>
              <w:top w:val="single" w:sz="4" w:space="0" w:color="000000"/>
              <w:left w:val="single" w:sz="4" w:space="0" w:color="000000"/>
              <w:bottom w:val="single" w:sz="4" w:space="0" w:color="auto"/>
              <w:right w:val="nil"/>
            </w:tcBorders>
            <w:shd w:val="clear" w:color="D9D9D9" w:fill="D9D9D9"/>
            <w:noWrap/>
            <w:vAlign w:val="bottom"/>
            <w:hideMark/>
          </w:tcPr>
          <w:p w14:paraId="4ED6FACA"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N-C18:2n6_Gly</w:t>
            </w:r>
          </w:p>
        </w:tc>
        <w:tc>
          <w:tcPr>
            <w:tcW w:w="1800" w:type="dxa"/>
            <w:tcBorders>
              <w:top w:val="single" w:sz="4" w:space="0" w:color="000000"/>
              <w:left w:val="nil"/>
              <w:bottom w:val="single" w:sz="4" w:space="0" w:color="auto"/>
              <w:right w:val="single" w:sz="4" w:space="0" w:color="000000"/>
            </w:tcBorders>
            <w:shd w:val="clear" w:color="D9D9D9" w:fill="D9D9D9"/>
            <w:noWrap/>
            <w:vAlign w:val="bottom"/>
            <w:hideMark/>
          </w:tcPr>
          <w:p w14:paraId="28600920"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N-C18:2n6_Gly</w:t>
            </w:r>
          </w:p>
        </w:tc>
      </w:tr>
      <w:tr w:rsidR="008C2587" w:rsidRPr="008E13CC" w14:paraId="0EC28BF2" w14:textId="77777777" w:rsidTr="00E51580">
        <w:trPr>
          <w:trHeight w:val="20"/>
        </w:trPr>
        <w:tc>
          <w:tcPr>
            <w:tcW w:w="1800" w:type="dxa"/>
            <w:tcBorders>
              <w:top w:val="single" w:sz="4" w:space="0" w:color="000000"/>
              <w:left w:val="single" w:sz="4" w:space="0" w:color="000000"/>
              <w:bottom w:val="single" w:sz="4" w:space="0" w:color="auto"/>
              <w:right w:val="nil"/>
            </w:tcBorders>
            <w:noWrap/>
            <w:vAlign w:val="bottom"/>
            <w:hideMark/>
          </w:tcPr>
          <w:p w14:paraId="5E84FABF"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N-C20:4n6_Gly</w:t>
            </w:r>
          </w:p>
        </w:tc>
        <w:tc>
          <w:tcPr>
            <w:tcW w:w="1800" w:type="dxa"/>
            <w:tcBorders>
              <w:top w:val="single" w:sz="4" w:space="0" w:color="000000"/>
              <w:left w:val="nil"/>
              <w:bottom w:val="single" w:sz="4" w:space="0" w:color="auto"/>
              <w:right w:val="single" w:sz="4" w:space="0" w:color="000000"/>
            </w:tcBorders>
            <w:noWrap/>
            <w:vAlign w:val="bottom"/>
            <w:hideMark/>
          </w:tcPr>
          <w:p w14:paraId="2E946A6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N-C20:4n6_Gly</w:t>
            </w:r>
          </w:p>
        </w:tc>
      </w:tr>
      <w:tr w:rsidR="008C2587" w:rsidRPr="008E13CC" w14:paraId="0B48088E" w14:textId="77777777" w:rsidTr="00E51580">
        <w:trPr>
          <w:trHeight w:val="20"/>
        </w:trPr>
        <w:tc>
          <w:tcPr>
            <w:tcW w:w="1800" w:type="dxa"/>
            <w:tcBorders>
              <w:top w:val="single" w:sz="4" w:space="0" w:color="000000"/>
              <w:left w:val="single" w:sz="4" w:space="0" w:color="000000"/>
              <w:bottom w:val="single" w:sz="4" w:space="0" w:color="auto"/>
              <w:right w:val="nil"/>
            </w:tcBorders>
            <w:shd w:val="clear" w:color="D9D9D9" w:fill="D9D9D9"/>
            <w:noWrap/>
            <w:vAlign w:val="bottom"/>
            <w:hideMark/>
          </w:tcPr>
          <w:p w14:paraId="587F81ED"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N-C16:0_EA</w:t>
            </w:r>
          </w:p>
        </w:tc>
        <w:tc>
          <w:tcPr>
            <w:tcW w:w="1800" w:type="dxa"/>
            <w:tcBorders>
              <w:top w:val="single" w:sz="4" w:space="0" w:color="000000"/>
              <w:left w:val="nil"/>
              <w:bottom w:val="single" w:sz="4" w:space="0" w:color="auto"/>
              <w:right w:val="single" w:sz="4" w:space="0" w:color="000000"/>
            </w:tcBorders>
            <w:shd w:val="clear" w:color="D9D9D9" w:fill="D9D9D9"/>
            <w:noWrap/>
            <w:vAlign w:val="bottom"/>
            <w:hideMark/>
          </w:tcPr>
          <w:p w14:paraId="2EA8581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N-C16:0_EA</w:t>
            </w:r>
          </w:p>
        </w:tc>
      </w:tr>
      <w:tr w:rsidR="008C2587" w:rsidRPr="008E13CC" w14:paraId="4FCA3F2D" w14:textId="77777777" w:rsidTr="00E51580">
        <w:trPr>
          <w:trHeight w:val="20"/>
        </w:trPr>
        <w:tc>
          <w:tcPr>
            <w:tcW w:w="1800" w:type="dxa"/>
            <w:tcBorders>
              <w:top w:val="single" w:sz="4" w:space="0" w:color="000000"/>
              <w:left w:val="single" w:sz="4" w:space="0" w:color="000000"/>
              <w:bottom w:val="single" w:sz="4" w:space="0" w:color="auto"/>
              <w:right w:val="nil"/>
            </w:tcBorders>
            <w:noWrap/>
            <w:vAlign w:val="bottom"/>
            <w:hideMark/>
          </w:tcPr>
          <w:p w14:paraId="657CEAC7"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N-C18:0_EA</w:t>
            </w:r>
          </w:p>
        </w:tc>
        <w:tc>
          <w:tcPr>
            <w:tcW w:w="1800" w:type="dxa"/>
            <w:tcBorders>
              <w:top w:val="single" w:sz="4" w:space="0" w:color="000000"/>
              <w:left w:val="nil"/>
              <w:bottom w:val="single" w:sz="4" w:space="0" w:color="auto"/>
              <w:right w:val="single" w:sz="4" w:space="0" w:color="000000"/>
            </w:tcBorders>
            <w:noWrap/>
            <w:vAlign w:val="bottom"/>
            <w:hideMark/>
          </w:tcPr>
          <w:p w14:paraId="0447C12B"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N-C18:0_EA</w:t>
            </w:r>
          </w:p>
        </w:tc>
      </w:tr>
      <w:tr w:rsidR="008C2587" w:rsidRPr="008E13CC" w14:paraId="0EBED62F" w14:textId="77777777" w:rsidTr="00E51580">
        <w:trPr>
          <w:trHeight w:val="20"/>
        </w:trPr>
        <w:tc>
          <w:tcPr>
            <w:tcW w:w="1800" w:type="dxa"/>
            <w:tcBorders>
              <w:top w:val="single" w:sz="4" w:space="0" w:color="000000"/>
              <w:left w:val="single" w:sz="4" w:space="0" w:color="000000"/>
              <w:bottom w:val="single" w:sz="4" w:space="0" w:color="auto"/>
              <w:right w:val="nil"/>
            </w:tcBorders>
            <w:shd w:val="clear" w:color="D9D9D9" w:fill="D9D9D9"/>
            <w:noWrap/>
            <w:vAlign w:val="bottom"/>
            <w:hideMark/>
          </w:tcPr>
          <w:p w14:paraId="1CE66FCD"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N-C18:2n6_EA</w:t>
            </w:r>
          </w:p>
        </w:tc>
        <w:tc>
          <w:tcPr>
            <w:tcW w:w="1800" w:type="dxa"/>
            <w:tcBorders>
              <w:top w:val="single" w:sz="4" w:space="0" w:color="000000"/>
              <w:left w:val="nil"/>
              <w:bottom w:val="single" w:sz="4" w:space="0" w:color="auto"/>
              <w:right w:val="single" w:sz="4" w:space="0" w:color="000000"/>
            </w:tcBorders>
            <w:shd w:val="clear" w:color="D9D9D9" w:fill="D9D9D9"/>
            <w:noWrap/>
            <w:vAlign w:val="bottom"/>
            <w:hideMark/>
          </w:tcPr>
          <w:p w14:paraId="4F5BC5C4"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N-C18:2n6_EA</w:t>
            </w:r>
          </w:p>
        </w:tc>
      </w:tr>
      <w:tr w:rsidR="008C2587" w:rsidRPr="008E13CC" w14:paraId="4F1B86AA" w14:textId="77777777" w:rsidTr="00E51580">
        <w:trPr>
          <w:trHeight w:val="20"/>
        </w:trPr>
        <w:tc>
          <w:tcPr>
            <w:tcW w:w="1800" w:type="dxa"/>
            <w:tcBorders>
              <w:top w:val="single" w:sz="4" w:space="0" w:color="000000"/>
              <w:left w:val="single" w:sz="4" w:space="0" w:color="000000"/>
              <w:bottom w:val="single" w:sz="4" w:space="0" w:color="auto"/>
              <w:right w:val="nil"/>
            </w:tcBorders>
            <w:noWrap/>
            <w:vAlign w:val="bottom"/>
            <w:hideMark/>
          </w:tcPr>
          <w:p w14:paraId="4A2B84B8"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N-C20:3n6_EA</w:t>
            </w:r>
          </w:p>
        </w:tc>
        <w:tc>
          <w:tcPr>
            <w:tcW w:w="1800" w:type="dxa"/>
            <w:tcBorders>
              <w:top w:val="single" w:sz="4" w:space="0" w:color="000000"/>
              <w:left w:val="nil"/>
              <w:bottom w:val="single" w:sz="4" w:space="0" w:color="auto"/>
              <w:right w:val="single" w:sz="4" w:space="0" w:color="000000"/>
            </w:tcBorders>
            <w:noWrap/>
            <w:vAlign w:val="bottom"/>
            <w:hideMark/>
          </w:tcPr>
          <w:p w14:paraId="028F50CD"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N-C20:3n6_EA</w:t>
            </w:r>
          </w:p>
        </w:tc>
      </w:tr>
      <w:tr w:rsidR="008C2587" w:rsidRPr="008E13CC" w14:paraId="42E8C4B7" w14:textId="77777777" w:rsidTr="00E51580">
        <w:trPr>
          <w:trHeight w:val="20"/>
        </w:trPr>
        <w:tc>
          <w:tcPr>
            <w:tcW w:w="1800" w:type="dxa"/>
            <w:tcBorders>
              <w:top w:val="single" w:sz="4" w:space="0" w:color="000000"/>
              <w:left w:val="single" w:sz="4" w:space="0" w:color="000000"/>
              <w:bottom w:val="single" w:sz="4" w:space="0" w:color="auto"/>
              <w:right w:val="nil"/>
            </w:tcBorders>
            <w:shd w:val="clear" w:color="D9D9D9" w:fill="D9D9D9"/>
            <w:noWrap/>
            <w:vAlign w:val="bottom"/>
            <w:hideMark/>
          </w:tcPr>
          <w:p w14:paraId="6E09F87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N-C20:5n3_EA</w:t>
            </w:r>
          </w:p>
        </w:tc>
        <w:tc>
          <w:tcPr>
            <w:tcW w:w="1800" w:type="dxa"/>
            <w:tcBorders>
              <w:top w:val="single" w:sz="4" w:space="0" w:color="000000"/>
              <w:left w:val="nil"/>
              <w:bottom w:val="single" w:sz="4" w:space="0" w:color="auto"/>
              <w:right w:val="single" w:sz="4" w:space="0" w:color="000000"/>
            </w:tcBorders>
            <w:shd w:val="clear" w:color="D9D9D9" w:fill="D9D9D9"/>
            <w:noWrap/>
            <w:vAlign w:val="bottom"/>
            <w:hideMark/>
          </w:tcPr>
          <w:p w14:paraId="0F8D830A"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N-C20:5n3_EA</w:t>
            </w:r>
          </w:p>
        </w:tc>
      </w:tr>
      <w:tr w:rsidR="008C2587" w:rsidRPr="008E13CC" w14:paraId="7A3C7F9F" w14:textId="77777777" w:rsidTr="00E51580">
        <w:trPr>
          <w:trHeight w:val="20"/>
        </w:trPr>
        <w:tc>
          <w:tcPr>
            <w:tcW w:w="1800" w:type="dxa"/>
            <w:tcBorders>
              <w:top w:val="single" w:sz="4" w:space="0" w:color="000000"/>
              <w:left w:val="single" w:sz="4" w:space="0" w:color="000000"/>
              <w:bottom w:val="single" w:sz="4" w:space="0" w:color="auto"/>
              <w:right w:val="nil"/>
            </w:tcBorders>
            <w:noWrap/>
            <w:vAlign w:val="bottom"/>
            <w:hideMark/>
          </w:tcPr>
          <w:p w14:paraId="76CF6F27"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N-C16:0_Gly</w:t>
            </w:r>
          </w:p>
        </w:tc>
        <w:tc>
          <w:tcPr>
            <w:tcW w:w="1800" w:type="dxa"/>
            <w:tcBorders>
              <w:top w:val="single" w:sz="4" w:space="0" w:color="000000"/>
              <w:left w:val="nil"/>
              <w:bottom w:val="single" w:sz="4" w:space="0" w:color="auto"/>
              <w:right w:val="single" w:sz="4" w:space="0" w:color="000000"/>
            </w:tcBorders>
            <w:noWrap/>
            <w:vAlign w:val="bottom"/>
            <w:hideMark/>
          </w:tcPr>
          <w:p w14:paraId="0EE820B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N-C16:0_Gly</w:t>
            </w:r>
          </w:p>
        </w:tc>
      </w:tr>
      <w:tr w:rsidR="008C2587" w:rsidRPr="008E13CC" w14:paraId="0EC7CA24"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7DF8E0DB"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4FD7398E"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TXB2</w:t>
            </w:r>
          </w:p>
        </w:tc>
      </w:tr>
      <w:tr w:rsidR="008C2587" w:rsidRPr="008E13CC" w14:paraId="7A8D3279"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21A27A7B"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71418B62"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F2IsoP</w:t>
            </w:r>
          </w:p>
        </w:tc>
      </w:tr>
      <w:tr w:rsidR="008C2587" w:rsidRPr="008E13CC" w14:paraId="64E84F6E"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15D6402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5768A75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RvD2</w:t>
            </w:r>
          </w:p>
        </w:tc>
      </w:tr>
      <w:tr w:rsidR="008C2587" w:rsidRPr="008E13CC" w14:paraId="6843994C"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3F3C09D9"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7D52B05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6-trans-LTB4</w:t>
            </w:r>
          </w:p>
        </w:tc>
      </w:tr>
      <w:tr w:rsidR="008C2587" w:rsidRPr="008E13CC" w14:paraId="6A9AB95E"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045CF28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7CD0A018"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5,15-DiHETE</w:t>
            </w:r>
          </w:p>
        </w:tc>
      </w:tr>
      <w:tr w:rsidR="008C2587" w:rsidRPr="008E13CC" w14:paraId="483F8351"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4CC646B4"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6D935562"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Maresin_1</w:t>
            </w:r>
          </w:p>
        </w:tc>
      </w:tr>
      <w:tr w:rsidR="008C2587" w:rsidRPr="008E13CC" w14:paraId="06F40505"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479D97D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03D7C02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9-HETE</w:t>
            </w:r>
          </w:p>
        </w:tc>
      </w:tr>
      <w:tr w:rsidR="008C2587" w:rsidRPr="008E13CC" w14:paraId="0084B379"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5A714AA9"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474A17ED"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18-HEPE</w:t>
            </w:r>
          </w:p>
        </w:tc>
      </w:tr>
      <w:tr w:rsidR="008C2587" w:rsidRPr="008E13CC" w14:paraId="464D8506"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7DE5CA4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738EBF4B"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15-HEPE</w:t>
            </w:r>
          </w:p>
        </w:tc>
      </w:tr>
      <w:tr w:rsidR="008C2587" w:rsidRPr="008E13CC" w14:paraId="34FFF586"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26F51CD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2460EA0F"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9-HEPE</w:t>
            </w:r>
          </w:p>
        </w:tc>
      </w:tr>
      <w:tr w:rsidR="008C2587" w:rsidRPr="008E13CC" w14:paraId="6C3FADD9"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5A7AF8BC" w14:textId="77777777" w:rsidR="008C2587" w:rsidRPr="00810199" w:rsidRDefault="008C2587" w:rsidP="00E51580">
            <w:pPr>
              <w:spacing w:after="0" w:line="240" w:lineRule="auto"/>
              <w:jc w:val="right"/>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3AA5231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17-HDoHE</w:t>
            </w:r>
          </w:p>
        </w:tc>
      </w:tr>
      <w:tr w:rsidR="008C2587" w:rsidRPr="008E13CC" w14:paraId="439C647F"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61FD5A23"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4F77D7BE"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14-HDoHE</w:t>
            </w:r>
          </w:p>
        </w:tc>
      </w:tr>
      <w:tr w:rsidR="008C2587" w:rsidRPr="008E13CC" w14:paraId="2AF3DF93"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61C8391F"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5944440F"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7-HDoHE</w:t>
            </w:r>
          </w:p>
        </w:tc>
      </w:tr>
      <w:tr w:rsidR="008C2587" w:rsidRPr="008E13CC" w14:paraId="760C7F84"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68D4C1FF"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45234B4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4-HDoHE</w:t>
            </w:r>
          </w:p>
        </w:tc>
      </w:tr>
      <w:tr w:rsidR="008C2587" w:rsidRPr="008E13CC" w14:paraId="63AA3A07"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5884F42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7F971FC1"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12(13)-Ep-9-KODE</w:t>
            </w:r>
          </w:p>
        </w:tc>
      </w:tr>
      <w:tr w:rsidR="008C2587" w:rsidRPr="008E13CC" w14:paraId="60DB3D2D"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1481159B"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3726A6D6"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5-KETE</w:t>
            </w:r>
          </w:p>
        </w:tc>
      </w:tr>
      <w:tr w:rsidR="008C2587" w:rsidRPr="008E13CC" w14:paraId="0F8FCD3F"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55C6D498"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47D69E9D"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4-KDoHE</w:t>
            </w:r>
          </w:p>
        </w:tc>
      </w:tr>
      <w:tr w:rsidR="008C2587" w:rsidRPr="008E13CC" w14:paraId="7A51BF35"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1AC1A60F"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120C3B7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11(12)-</w:t>
            </w:r>
            <w:proofErr w:type="spellStart"/>
            <w:r w:rsidRPr="00810199">
              <w:rPr>
                <w:rFonts w:ascii="Arial" w:eastAsia="Times New Roman" w:hAnsi="Arial" w:cs="Arial"/>
                <w:b/>
                <w:bCs/>
                <w:sz w:val="11"/>
                <w:szCs w:val="11"/>
              </w:rPr>
              <w:t>EpETrE</w:t>
            </w:r>
            <w:proofErr w:type="spellEnd"/>
          </w:p>
        </w:tc>
      </w:tr>
      <w:tr w:rsidR="008C2587" w:rsidRPr="008E13CC" w14:paraId="32B74140"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2D214DF0"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71B7C96D"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14(15)-</w:t>
            </w:r>
            <w:proofErr w:type="spellStart"/>
            <w:r w:rsidRPr="00810199">
              <w:rPr>
                <w:rFonts w:ascii="Arial" w:eastAsia="Times New Roman" w:hAnsi="Arial" w:cs="Arial"/>
                <w:b/>
                <w:bCs/>
                <w:sz w:val="11"/>
                <w:szCs w:val="11"/>
              </w:rPr>
              <w:t>EpETE</w:t>
            </w:r>
            <w:proofErr w:type="spellEnd"/>
          </w:p>
        </w:tc>
      </w:tr>
      <w:tr w:rsidR="008C2587" w:rsidRPr="008E13CC" w14:paraId="21025477"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3B4F083F"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61FC241D"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11(12)-</w:t>
            </w:r>
            <w:proofErr w:type="spellStart"/>
            <w:r w:rsidRPr="00810199">
              <w:rPr>
                <w:rFonts w:ascii="Arial" w:eastAsia="Times New Roman" w:hAnsi="Arial" w:cs="Arial"/>
                <w:b/>
                <w:bCs/>
                <w:sz w:val="11"/>
                <w:szCs w:val="11"/>
              </w:rPr>
              <w:t>EpETE</w:t>
            </w:r>
            <w:proofErr w:type="spellEnd"/>
          </w:p>
        </w:tc>
      </w:tr>
      <w:tr w:rsidR="008C2587" w:rsidRPr="008E13CC" w14:paraId="2F5E81AC"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716F0A3B"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4BE871B1"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16(17)-</w:t>
            </w:r>
            <w:proofErr w:type="spellStart"/>
            <w:r w:rsidRPr="00810199">
              <w:rPr>
                <w:rFonts w:ascii="Arial" w:eastAsia="Times New Roman" w:hAnsi="Arial" w:cs="Arial"/>
                <w:b/>
                <w:bCs/>
                <w:sz w:val="11"/>
                <w:szCs w:val="11"/>
              </w:rPr>
              <w:t>EpDoPE</w:t>
            </w:r>
            <w:proofErr w:type="spellEnd"/>
          </w:p>
        </w:tc>
      </w:tr>
      <w:tr w:rsidR="008C2587" w:rsidRPr="008E13CC" w14:paraId="34A354DD"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57A16C50"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66C5282E"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13(14)-</w:t>
            </w:r>
            <w:proofErr w:type="spellStart"/>
            <w:r w:rsidRPr="00810199">
              <w:rPr>
                <w:rFonts w:ascii="Arial" w:eastAsia="Times New Roman" w:hAnsi="Arial" w:cs="Arial"/>
                <w:b/>
                <w:bCs/>
                <w:sz w:val="11"/>
                <w:szCs w:val="11"/>
              </w:rPr>
              <w:t>EpDoPE</w:t>
            </w:r>
            <w:proofErr w:type="spellEnd"/>
          </w:p>
        </w:tc>
      </w:tr>
      <w:tr w:rsidR="008C2587" w:rsidRPr="008E13CC" w14:paraId="24A29B16"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78FB6831"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5FD90BB2"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10(11)-</w:t>
            </w:r>
            <w:proofErr w:type="spellStart"/>
            <w:r w:rsidRPr="00810199">
              <w:rPr>
                <w:rFonts w:ascii="Arial" w:eastAsia="Times New Roman" w:hAnsi="Arial" w:cs="Arial"/>
                <w:b/>
                <w:bCs/>
                <w:sz w:val="11"/>
                <w:szCs w:val="11"/>
              </w:rPr>
              <w:t>EpDoPE</w:t>
            </w:r>
            <w:proofErr w:type="spellEnd"/>
          </w:p>
        </w:tc>
      </w:tr>
      <w:tr w:rsidR="008C2587" w:rsidRPr="008E13CC" w14:paraId="50D3D984"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0D24524B"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4575BCAC"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8,9-DiHETrE</w:t>
            </w:r>
          </w:p>
        </w:tc>
      </w:tr>
      <w:tr w:rsidR="008C2587" w:rsidRPr="008E13CC" w14:paraId="6B880E53"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6A4C7E48"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13958E7D"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8,9-DiHETE</w:t>
            </w:r>
          </w:p>
        </w:tc>
      </w:tr>
      <w:tr w:rsidR="008C2587" w:rsidRPr="008E13CC" w14:paraId="7E4F2594"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5D9A79D7"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0A411855"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19,20-DiHDoPE</w:t>
            </w:r>
          </w:p>
        </w:tc>
      </w:tr>
      <w:tr w:rsidR="008C2587" w:rsidRPr="008E13CC" w14:paraId="323C65BF" w14:textId="77777777" w:rsidTr="00E51580">
        <w:trPr>
          <w:trHeight w:val="20"/>
        </w:trPr>
        <w:tc>
          <w:tcPr>
            <w:tcW w:w="1800" w:type="dxa"/>
            <w:tcBorders>
              <w:top w:val="single" w:sz="4" w:space="0" w:color="auto"/>
              <w:left w:val="single" w:sz="4" w:space="0" w:color="000000"/>
              <w:bottom w:val="single" w:sz="4" w:space="0" w:color="auto"/>
              <w:right w:val="nil"/>
            </w:tcBorders>
            <w:shd w:val="clear" w:color="D9D9D9" w:fill="D9D9D9"/>
            <w:noWrap/>
            <w:vAlign w:val="bottom"/>
            <w:hideMark/>
          </w:tcPr>
          <w:p w14:paraId="3D61A184"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shd w:val="clear" w:color="D9D9D9" w:fill="D9D9D9"/>
            <w:noWrap/>
            <w:vAlign w:val="bottom"/>
            <w:hideMark/>
          </w:tcPr>
          <w:p w14:paraId="657E1D71"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16,17-DiHDoPE</w:t>
            </w:r>
          </w:p>
        </w:tc>
      </w:tr>
      <w:tr w:rsidR="008C2587" w:rsidRPr="008E13CC" w14:paraId="0A3FFACA" w14:textId="77777777" w:rsidTr="00E51580">
        <w:trPr>
          <w:trHeight w:val="20"/>
        </w:trPr>
        <w:tc>
          <w:tcPr>
            <w:tcW w:w="1800" w:type="dxa"/>
            <w:tcBorders>
              <w:top w:val="single" w:sz="4" w:space="0" w:color="auto"/>
              <w:left w:val="single" w:sz="4" w:space="0" w:color="000000"/>
              <w:bottom w:val="single" w:sz="4" w:space="0" w:color="auto"/>
              <w:right w:val="nil"/>
            </w:tcBorders>
            <w:noWrap/>
            <w:vAlign w:val="bottom"/>
            <w:hideMark/>
          </w:tcPr>
          <w:p w14:paraId="5218273A"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 </w:t>
            </w:r>
          </w:p>
        </w:tc>
        <w:tc>
          <w:tcPr>
            <w:tcW w:w="1800" w:type="dxa"/>
            <w:tcBorders>
              <w:top w:val="single" w:sz="4" w:space="0" w:color="auto"/>
              <w:left w:val="nil"/>
              <w:bottom w:val="single" w:sz="4" w:space="0" w:color="auto"/>
              <w:right w:val="single" w:sz="4" w:space="0" w:color="000000"/>
            </w:tcBorders>
            <w:noWrap/>
            <w:vAlign w:val="bottom"/>
            <w:hideMark/>
          </w:tcPr>
          <w:p w14:paraId="03A5C9EB" w14:textId="77777777" w:rsidR="008C2587" w:rsidRPr="00810199" w:rsidRDefault="008C2587" w:rsidP="00E51580">
            <w:pPr>
              <w:spacing w:after="0" w:line="240" w:lineRule="auto"/>
              <w:jc w:val="center"/>
              <w:rPr>
                <w:rFonts w:ascii="Arial" w:eastAsia="Times New Roman" w:hAnsi="Arial" w:cs="Arial"/>
                <w:b/>
                <w:bCs/>
                <w:sz w:val="11"/>
                <w:szCs w:val="11"/>
              </w:rPr>
            </w:pPr>
            <w:r w:rsidRPr="00810199">
              <w:rPr>
                <w:rFonts w:ascii="Arial" w:eastAsia="Times New Roman" w:hAnsi="Arial" w:cs="Arial"/>
                <w:b/>
                <w:bCs/>
                <w:sz w:val="11"/>
                <w:szCs w:val="11"/>
              </w:rPr>
              <w:t>13,14-DiHDoPE</w:t>
            </w:r>
          </w:p>
        </w:tc>
      </w:tr>
    </w:tbl>
    <w:p w14:paraId="5384D69F" w14:textId="77777777" w:rsidR="008C2587" w:rsidRPr="00810199" w:rsidRDefault="008C2587" w:rsidP="008C2587">
      <w:pPr>
        <w:rPr>
          <w:rFonts w:ascii="Arial" w:hAnsi="Arial" w:cs="Arial"/>
          <w:sz w:val="24"/>
          <w:szCs w:val="24"/>
        </w:rPr>
      </w:pPr>
    </w:p>
    <w:p w14:paraId="2A2A774B" w14:textId="77777777" w:rsidR="008C2587" w:rsidRPr="00C63A34" w:rsidRDefault="008C2587" w:rsidP="00246D22">
      <w:pPr>
        <w:spacing w:after="0" w:line="240" w:lineRule="auto"/>
        <w:rPr>
          <w:rFonts w:ascii="Arial" w:hAnsi="Arial" w:cs="Arial"/>
          <w:sz w:val="24"/>
          <w:szCs w:val="24"/>
        </w:rPr>
      </w:pPr>
      <w:r w:rsidRPr="00C63A34">
        <w:rPr>
          <w:rFonts w:ascii="Arial" w:hAnsi="Arial" w:cs="Arial"/>
          <w:sz w:val="24"/>
          <w:szCs w:val="24"/>
        </w:rPr>
        <w:t>Fig 3. Synovial fluid PGE</w:t>
      </w:r>
      <w:r w:rsidRPr="00C63A34">
        <w:rPr>
          <w:rFonts w:ascii="Arial" w:hAnsi="Arial" w:cs="Arial"/>
          <w:sz w:val="24"/>
          <w:szCs w:val="24"/>
          <w:vertAlign w:val="subscript"/>
        </w:rPr>
        <w:t xml:space="preserve">2 </w:t>
      </w:r>
      <w:r w:rsidRPr="00C63A34">
        <w:rPr>
          <w:rFonts w:ascii="Arial" w:hAnsi="Arial" w:cs="Arial"/>
          <w:sz w:val="24"/>
          <w:szCs w:val="24"/>
        </w:rPr>
        <w:t>decreased with all treatments (p=0.05). Overall PGE</w:t>
      </w:r>
      <w:r w:rsidRPr="00C63A34">
        <w:rPr>
          <w:rFonts w:ascii="Arial" w:hAnsi="Arial" w:cs="Arial"/>
          <w:sz w:val="24"/>
          <w:szCs w:val="24"/>
          <w:vertAlign w:val="subscript"/>
        </w:rPr>
        <w:t>2</w:t>
      </w:r>
      <w:r w:rsidRPr="00C63A34">
        <w:rPr>
          <w:rFonts w:ascii="Arial" w:hAnsi="Arial" w:cs="Arial"/>
          <w:sz w:val="24"/>
          <w:szCs w:val="24"/>
        </w:rPr>
        <w:t xml:space="preserve"> was lower in synovial fluid during the firocoxib treatment phase (pre and post treatments) when compared to t-TUCB (p=0.006). One treatment did not decrease PGE</w:t>
      </w:r>
      <w:r w:rsidRPr="00C63A34">
        <w:rPr>
          <w:rFonts w:ascii="Arial" w:hAnsi="Arial" w:cs="Arial"/>
          <w:sz w:val="24"/>
          <w:szCs w:val="24"/>
          <w:vertAlign w:val="subscript"/>
        </w:rPr>
        <w:t>2</w:t>
      </w:r>
      <w:r w:rsidRPr="00C63A34">
        <w:rPr>
          <w:rFonts w:ascii="Arial" w:hAnsi="Arial" w:cs="Arial"/>
          <w:sz w:val="24"/>
          <w:szCs w:val="24"/>
        </w:rPr>
        <w:t xml:space="preserve"> more significantly than another. </w:t>
      </w:r>
    </w:p>
    <w:p w14:paraId="0B92A17C" w14:textId="2D48A319" w:rsidR="008C2587" w:rsidRPr="00C63A34" w:rsidRDefault="008C2587">
      <w:pPr>
        <w:rPr>
          <w:rFonts w:ascii="Arial" w:hAnsi="Arial" w:cs="Arial"/>
          <w:sz w:val="24"/>
          <w:szCs w:val="24"/>
        </w:rPr>
      </w:pPr>
      <w:r w:rsidRPr="00C63A34">
        <w:rPr>
          <w:rFonts w:ascii="Arial" w:hAnsi="Arial" w:cs="Arial"/>
          <w:noProof/>
          <w:sz w:val="24"/>
          <w:szCs w:val="24"/>
        </w:rPr>
        <w:drawing>
          <wp:inline distT="0" distB="0" distL="0" distR="0" wp14:anchorId="3780853E" wp14:editId="58845AFD">
            <wp:extent cx="3263900" cy="2447926"/>
            <wp:effectExtent l="0" t="0" r="0" b="9525"/>
            <wp:docPr id="8480473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9729" cy="2459798"/>
                    </a:xfrm>
                    <a:prstGeom prst="rect">
                      <a:avLst/>
                    </a:prstGeom>
                    <a:noFill/>
                    <a:ln>
                      <a:noFill/>
                    </a:ln>
                  </pic:spPr>
                </pic:pic>
              </a:graphicData>
            </a:graphic>
          </wp:inline>
        </w:drawing>
      </w:r>
    </w:p>
    <w:p w14:paraId="543459BF" w14:textId="0397852F" w:rsidR="003C2F1F" w:rsidRPr="00C63A34" w:rsidRDefault="00531CC2" w:rsidP="00246D22">
      <w:pPr>
        <w:spacing w:after="0" w:line="240" w:lineRule="auto"/>
        <w:rPr>
          <w:rFonts w:ascii="Arial" w:hAnsi="Arial" w:cs="Arial"/>
          <w:sz w:val="24"/>
          <w:szCs w:val="24"/>
        </w:rPr>
      </w:pPr>
      <w:r w:rsidRPr="00C63A34">
        <w:rPr>
          <w:rFonts w:ascii="Arial" w:hAnsi="Arial" w:cs="Arial"/>
          <w:b/>
          <w:bCs/>
          <w:sz w:val="24"/>
          <w:szCs w:val="24"/>
        </w:rPr>
        <w:lastRenderedPageBreak/>
        <w:t>References:</w:t>
      </w:r>
      <w:r w:rsidR="00F31763" w:rsidRPr="00C63A34">
        <w:rPr>
          <w:rFonts w:ascii="Arial" w:hAnsi="Arial" w:cs="Arial"/>
          <w:sz w:val="24"/>
          <w:szCs w:val="24"/>
        </w:rPr>
        <w:t xml:space="preserve"> </w:t>
      </w:r>
    </w:p>
    <w:p w14:paraId="7EE5084E" w14:textId="77777777" w:rsidR="00EF1AE2" w:rsidRPr="00C63A34" w:rsidRDefault="003C2F1F" w:rsidP="00246D22">
      <w:pPr>
        <w:pStyle w:val="EndNoteBibliography"/>
        <w:adjustRightInd w:val="0"/>
        <w:spacing w:after="0"/>
        <w:ind w:left="360" w:hanging="360"/>
        <w:rPr>
          <w:rFonts w:ascii="Arial" w:hAnsi="Arial" w:cs="Arial"/>
          <w:noProof/>
          <w:sz w:val="24"/>
          <w:szCs w:val="24"/>
        </w:rPr>
      </w:pPr>
      <w:r w:rsidRPr="00C63A34">
        <w:rPr>
          <w:rFonts w:ascii="Arial" w:hAnsi="Arial" w:cs="Arial"/>
          <w:sz w:val="24"/>
          <w:szCs w:val="24"/>
        </w:rPr>
        <w:fldChar w:fldCharType="begin"/>
      </w:r>
      <w:r w:rsidRPr="00C63A34">
        <w:rPr>
          <w:rFonts w:ascii="Arial" w:hAnsi="Arial" w:cs="Arial"/>
          <w:sz w:val="24"/>
          <w:szCs w:val="24"/>
        </w:rPr>
        <w:instrText xml:space="preserve"> ADDIN EN.REFLIST </w:instrText>
      </w:r>
      <w:r w:rsidRPr="00C63A34">
        <w:rPr>
          <w:rFonts w:ascii="Arial" w:hAnsi="Arial" w:cs="Arial"/>
          <w:sz w:val="24"/>
          <w:szCs w:val="24"/>
        </w:rPr>
        <w:fldChar w:fldCharType="separate"/>
      </w:r>
      <w:r w:rsidR="00EF1AE2" w:rsidRPr="00C63A34">
        <w:rPr>
          <w:rFonts w:ascii="Arial" w:hAnsi="Arial" w:cs="Arial"/>
          <w:noProof/>
          <w:sz w:val="24"/>
          <w:szCs w:val="24"/>
        </w:rPr>
        <w:t>1.</w:t>
      </w:r>
      <w:r w:rsidR="00EF1AE2" w:rsidRPr="00C63A34">
        <w:rPr>
          <w:rFonts w:ascii="Arial" w:hAnsi="Arial" w:cs="Arial"/>
          <w:noProof/>
          <w:sz w:val="24"/>
          <w:szCs w:val="24"/>
        </w:rPr>
        <w:tab/>
        <w:t xml:space="preserve">Tucker L, Trumble TN, Groschen D, et al. Targeting Soluble Epoxide Hydrolase and Cyclooxygenases Enhance Joint Pain Control, Stimulate Collagen Synthesis, and Protect Chondrocytes From Cytokine-Induced Apoptosis. </w:t>
      </w:r>
      <w:r w:rsidR="00EF1AE2" w:rsidRPr="00C63A34">
        <w:rPr>
          <w:rFonts w:ascii="Arial" w:hAnsi="Arial" w:cs="Arial"/>
          <w:i/>
          <w:noProof/>
          <w:sz w:val="24"/>
          <w:szCs w:val="24"/>
        </w:rPr>
        <w:t>Front Vet Sci</w:t>
      </w:r>
      <w:r w:rsidR="00EF1AE2" w:rsidRPr="00C63A34">
        <w:rPr>
          <w:rFonts w:ascii="Arial" w:hAnsi="Arial" w:cs="Arial"/>
          <w:noProof/>
          <w:sz w:val="24"/>
          <w:szCs w:val="24"/>
        </w:rPr>
        <w:t>. 2021;8:685824. doi:10.3389/fvets.2021.685824</w:t>
      </w:r>
    </w:p>
    <w:p w14:paraId="4F5C07A3" w14:textId="77777777" w:rsidR="00EF1AE2" w:rsidRPr="00C63A34" w:rsidRDefault="00EF1AE2" w:rsidP="00246D22">
      <w:pPr>
        <w:pStyle w:val="EndNoteBibliography"/>
        <w:adjustRightInd w:val="0"/>
        <w:spacing w:after="0"/>
        <w:ind w:left="360" w:hanging="360"/>
        <w:rPr>
          <w:rFonts w:ascii="Arial" w:hAnsi="Arial" w:cs="Arial"/>
          <w:noProof/>
          <w:sz w:val="24"/>
          <w:szCs w:val="24"/>
        </w:rPr>
      </w:pPr>
      <w:r w:rsidRPr="00C63A34">
        <w:rPr>
          <w:rFonts w:ascii="Arial" w:hAnsi="Arial" w:cs="Arial"/>
          <w:noProof/>
          <w:sz w:val="24"/>
          <w:szCs w:val="24"/>
        </w:rPr>
        <w:t>2.</w:t>
      </w:r>
      <w:r w:rsidRPr="00C63A34">
        <w:rPr>
          <w:rFonts w:ascii="Arial" w:hAnsi="Arial" w:cs="Arial"/>
          <w:noProof/>
          <w:sz w:val="24"/>
          <w:szCs w:val="24"/>
        </w:rPr>
        <w:tab/>
        <w:t xml:space="preserve">McReynolds CB, Hwang SH, Yang J, et al. Pharmaceutical Effects of Inhibiting the Soluble Epoxide Hydrolase in Canine Osteoarthritis. </w:t>
      </w:r>
      <w:r w:rsidRPr="00C63A34">
        <w:rPr>
          <w:rFonts w:ascii="Arial" w:hAnsi="Arial" w:cs="Arial"/>
          <w:i/>
          <w:noProof/>
          <w:sz w:val="24"/>
          <w:szCs w:val="24"/>
        </w:rPr>
        <w:t>Front Pharmacol</w:t>
      </w:r>
      <w:r w:rsidRPr="00C63A34">
        <w:rPr>
          <w:rFonts w:ascii="Arial" w:hAnsi="Arial" w:cs="Arial"/>
          <w:noProof/>
          <w:sz w:val="24"/>
          <w:szCs w:val="24"/>
        </w:rPr>
        <w:t>. 2019;10:533. doi:10.3389/fphar.2019.00533</w:t>
      </w:r>
    </w:p>
    <w:p w14:paraId="19753012" w14:textId="77777777" w:rsidR="00EF1AE2" w:rsidRPr="00C63A34" w:rsidRDefault="00EF1AE2" w:rsidP="00246D22">
      <w:pPr>
        <w:pStyle w:val="EndNoteBibliography"/>
        <w:adjustRightInd w:val="0"/>
        <w:ind w:left="360" w:hanging="360"/>
        <w:rPr>
          <w:rFonts w:ascii="Arial" w:hAnsi="Arial" w:cs="Arial"/>
          <w:noProof/>
          <w:sz w:val="24"/>
          <w:szCs w:val="24"/>
        </w:rPr>
      </w:pPr>
      <w:r w:rsidRPr="00C63A34">
        <w:rPr>
          <w:rFonts w:ascii="Arial" w:hAnsi="Arial" w:cs="Arial"/>
          <w:noProof/>
          <w:sz w:val="24"/>
          <w:szCs w:val="24"/>
        </w:rPr>
        <w:t>3.</w:t>
      </w:r>
      <w:r w:rsidRPr="00C63A34">
        <w:rPr>
          <w:rFonts w:ascii="Arial" w:hAnsi="Arial" w:cs="Arial"/>
          <w:noProof/>
          <w:sz w:val="24"/>
          <w:szCs w:val="24"/>
        </w:rPr>
        <w:tab/>
        <w:t xml:space="preserve">Brown C, Carlson A, Hines M, Collar E. Clinical Effect of Multidose Oral Administration of Firocoxib and t-TUCB Alone and in Combination for the Treatment of Naturally Occurring Osteoarthritis in Horses. </w:t>
      </w:r>
      <w:r w:rsidRPr="00C63A34">
        <w:rPr>
          <w:rFonts w:ascii="Arial" w:hAnsi="Arial" w:cs="Arial"/>
          <w:i/>
          <w:noProof/>
          <w:sz w:val="24"/>
          <w:szCs w:val="24"/>
        </w:rPr>
        <w:t>Veterinary and comparative orthopaedics and traumatology : VCOT</w:t>
      </w:r>
      <w:r w:rsidRPr="00C63A34">
        <w:rPr>
          <w:rFonts w:ascii="Arial" w:hAnsi="Arial" w:cs="Arial"/>
          <w:noProof/>
          <w:sz w:val="24"/>
          <w:szCs w:val="24"/>
        </w:rPr>
        <w:t>. 2024/09/16 2024;37(05):A038. doi:10.1055/s-0044-1791323</w:t>
      </w:r>
    </w:p>
    <w:p w14:paraId="4776FF3E" w14:textId="2D4EFBFA" w:rsidR="00EF1AE2" w:rsidRPr="00C63A34" w:rsidRDefault="003C2F1F" w:rsidP="00246D22">
      <w:pPr>
        <w:spacing w:after="0" w:line="240" w:lineRule="auto"/>
        <w:rPr>
          <w:rFonts w:ascii="Arial" w:hAnsi="Arial" w:cs="Arial"/>
          <w:sz w:val="24"/>
          <w:szCs w:val="24"/>
        </w:rPr>
      </w:pPr>
      <w:r w:rsidRPr="00C63A34">
        <w:rPr>
          <w:rFonts w:ascii="Arial" w:hAnsi="Arial" w:cs="Arial"/>
          <w:sz w:val="24"/>
          <w:szCs w:val="24"/>
        </w:rPr>
        <w:fldChar w:fldCharType="end"/>
      </w:r>
      <w:r w:rsidR="00EF1AE2" w:rsidRPr="00C63A34">
        <w:rPr>
          <w:rFonts w:ascii="Arial" w:hAnsi="Arial" w:cs="Arial"/>
          <w:b/>
          <w:bCs/>
          <w:sz w:val="24"/>
          <w:szCs w:val="24"/>
        </w:rPr>
        <w:t>Acknowledgements:</w:t>
      </w:r>
      <w:r w:rsidR="00EF1AE2" w:rsidRPr="00C63A34">
        <w:rPr>
          <w:rFonts w:ascii="Arial" w:hAnsi="Arial" w:cs="Arial"/>
          <w:sz w:val="24"/>
          <w:szCs w:val="24"/>
        </w:rPr>
        <w:t xml:space="preserve"> </w:t>
      </w:r>
      <w:r w:rsidR="00EF1AE2" w:rsidRPr="005D23DC">
        <w:rPr>
          <w:rFonts w:ascii="Arial" w:hAnsi="Arial" w:cs="Arial"/>
          <w:color w:val="000000" w:themeColor="text1"/>
          <w:sz w:val="24"/>
          <w:szCs w:val="24"/>
        </w:rPr>
        <w:t xml:space="preserve">The authors would like to acknowledge the American Quarter Horse Foundation and the </w:t>
      </w:r>
      <w:r w:rsidR="00407ED3" w:rsidRPr="005D23DC">
        <w:rPr>
          <w:rFonts w:ascii="Arial" w:hAnsi="Arial" w:cs="Arial"/>
          <w:color w:val="000000" w:themeColor="text1"/>
          <w:sz w:val="24"/>
          <w:szCs w:val="24"/>
        </w:rPr>
        <w:t xml:space="preserve">XXX </w:t>
      </w:r>
      <w:r w:rsidR="00EF1AE2" w:rsidRPr="005D23DC">
        <w:rPr>
          <w:rFonts w:ascii="Arial" w:hAnsi="Arial" w:cs="Arial"/>
          <w:color w:val="000000" w:themeColor="text1"/>
          <w:sz w:val="24"/>
          <w:szCs w:val="24"/>
        </w:rPr>
        <w:t xml:space="preserve">Graduate School Student Research Faculty Award for funding. </w:t>
      </w:r>
      <w:r w:rsidR="004D2325" w:rsidRPr="005D23DC">
        <w:rPr>
          <w:rFonts w:ascii="Arial" w:hAnsi="Arial" w:cs="Arial"/>
          <w:color w:val="000000" w:themeColor="text1"/>
          <w:sz w:val="24"/>
          <w:szCs w:val="24"/>
        </w:rPr>
        <w:t xml:space="preserve">Many thanks to </w:t>
      </w:r>
      <w:r w:rsidR="00407ED3" w:rsidRPr="005D23DC">
        <w:rPr>
          <w:rFonts w:ascii="Arial" w:hAnsi="Arial" w:cs="Arial"/>
          <w:color w:val="000000" w:themeColor="text1"/>
          <w:sz w:val="24"/>
          <w:szCs w:val="24"/>
        </w:rPr>
        <w:t>XXX</w:t>
      </w:r>
      <w:r w:rsidR="004D2325" w:rsidRPr="005D23DC">
        <w:rPr>
          <w:rFonts w:ascii="Arial" w:hAnsi="Arial" w:cs="Arial"/>
          <w:color w:val="000000" w:themeColor="text1"/>
          <w:sz w:val="24"/>
          <w:szCs w:val="24"/>
        </w:rPr>
        <w:t xml:space="preserve"> for assistance with ELISAs.</w:t>
      </w:r>
    </w:p>
    <w:p w14:paraId="7BFE518E" w14:textId="77777777" w:rsidR="00A85A0A" w:rsidRPr="00C63A34" w:rsidRDefault="00A85A0A" w:rsidP="00832921">
      <w:pPr>
        <w:rPr>
          <w:rFonts w:ascii="Arial" w:hAnsi="Arial" w:cs="Arial"/>
          <w:sz w:val="24"/>
          <w:szCs w:val="24"/>
        </w:rPr>
      </w:pPr>
    </w:p>
    <w:p w14:paraId="16E02F5D" w14:textId="77777777" w:rsidR="00A85A0A" w:rsidRPr="00C63A34" w:rsidRDefault="00A85A0A" w:rsidP="00832921">
      <w:pPr>
        <w:rPr>
          <w:rFonts w:ascii="Arial" w:hAnsi="Arial" w:cs="Arial"/>
          <w:sz w:val="24"/>
          <w:szCs w:val="24"/>
        </w:rPr>
      </w:pPr>
    </w:p>
    <w:p w14:paraId="70D663B5" w14:textId="77777777" w:rsidR="00A85A0A" w:rsidRPr="00C63A34" w:rsidRDefault="00A85A0A" w:rsidP="00832921">
      <w:pPr>
        <w:rPr>
          <w:rFonts w:ascii="Arial" w:hAnsi="Arial" w:cs="Arial"/>
          <w:sz w:val="24"/>
          <w:szCs w:val="24"/>
        </w:rPr>
      </w:pPr>
    </w:p>
    <w:p w14:paraId="2A0BA3B4" w14:textId="77777777" w:rsidR="00A85A0A" w:rsidRPr="00C63A34" w:rsidRDefault="00A85A0A" w:rsidP="00832921">
      <w:pPr>
        <w:rPr>
          <w:rFonts w:ascii="Arial" w:hAnsi="Arial" w:cs="Arial"/>
          <w:sz w:val="24"/>
          <w:szCs w:val="24"/>
        </w:rPr>
      </w:pPr>
    </w:p>
    <w:p w14:paraId="20BF1212" w14:textId="77777777" w:rsidR="00A85A0A" w:rsidRPr="00C63A34" w:rsidRDefault="00A85A0A" w:rsidP="00832921">
      <w:pPr>
        <w:rPr>
          <w:rFonts w:ascii="Arial" w:hAnsi="Arial" w:cs="Arial"/>
          <w:sz w:val="24"/>
          <w:szCs w:val="24"/>
        </w:rPr>
      </w:pPr>
    </w:p>
    <w:sectPr w:rsidR="00A85A0A" w:rsidRPr="00C63A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llar, Elizabeth" w:date="2025-11-01T00:37:00Z" w:initials="EC">
    <w:p w14:paraId="79335289" w14:textId="77777777" w:rsidR="001935CE" w:rsidRDefault="001935CE" w:rsidP="001935CE">
      <w:r>
        <w:rPr>
          <w:rStyle w:val="CommentReference"/>
        </w:rPr>
        <w:annotationRef/>
      </w:r>
      <w:r>
        <w:rPr>
          <w:sz w:val="20"/>
          <w:szCs w:val="20"/>
        </w:rPr>
        <w:t xml:space="preserve">Delete the joints that weren't used for biomarker or oxylipin analyses!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3352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DF1290" w16cex:dateUtc="2025-11-01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335289" w16cid:durableId="1ADF12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lar, Elizabeth">
    <w15:presenceInfo w15:providerId="AD" w15:userId="S::ecollar@utk.edu::18ea0fc0-d29e-4730-97d9-86d3cf58d8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2rdvezjs5v5ge9rpc5twswvpsxwftw25dp&quot;&gt;My EndNote Library 1&lt;record-ids&gt;&lt;item&gt;15&lt;/item&gt;&lt;item&gt;17&lt;/item&gt;&lt;/record-ids&gt;&lt;/item&gt;&lt;/Libraries&gt;"/>
  </w:docVars>
  <w:rsids>
    <w:rsidRoot w:val="00F31763"/>
    <w:rsid w:val="000075ED"/>
    <w:rsid w:val="0004071E"/>
    <w:rsid w:val="00047CA1"/>
    <w:rsid w:val="00061FA9"/>
    <w:rsid w:val="000650E4"/>
    <w:rsid w:val="00067991"/>
    <w:rsid w:val="00067D69"/>
    <w:rsid w:val="00085FC8"/>
    <w:rsid w:val="000B3124"/>
    <w:rsid w:val="000F2240"/>
    <w:rsid w:val="00102257"/>
    <w:rsid w:val="001935CE"/>
    <w:rsid w:val="001C6995"/>
    <w:rsid w:val="001D1E5E"/>
    <w:rsid w:val="001E6DD2"/>
    <w:rsid w:val="002045EA"/>
    <w:rsid w:val="00214305"/>
    <w:rsid w:val="00246D22"/>
    <w:rsid w:val="00266F79"/>
    <w:rsid w:val="00296B45"/>
    <w:rsid w:val="002A60FF"/>
    <w:rsid w:val="002B1021"/>
    <w:rsid w:val="002B1ABF"/>
    <w:rsid w:val="002C6B67"/>
    <w:rsid w:val="002F56D7"/>
    <w:rsid w:val="002F79D8"/>
    <w:rsid w:val="00305C34"/>
    <w:rsid w:val="00394E82"/>
    <w:rsid w:val="003C2F1F"/>
    <w:rsid w:val="003D53A0"/>
    <w:rsid w:val="0040010D"/>
    <w:rsid w:val="00405D3A"/>
    <w:rsid w:val="00407ED3"/>
    <w:rsid w:val="00421856"/>
    <w:rsid w:val="00484E0D"/>
    <w:rsid w:val="004B7F9B"/>
    <w:rsid w:val="004D2325"/>
    <w:rsid w:val="00524FDC"/>
    <w:rsid w:val="00531CC2"/>
    <w:rsid w:val="00562719"/>
    <w:rsid w:val="00567E0A"/>
    <w:rsid w:val="005A4640"/>
    <w:rsid w:val="005D1753"/>
    <w:rsid w:val="005D23DC"/>
    <w:rsid w:val="005F7139"/>
    <w:rsid w:val="00601BFA"/>
    <w:rsid w:val="00623AEF"/>
    <w:rsid w:val="00626D01"/>
    <w:rsid w:val="00640A32"/>
    <w:rsid w:val="006A7E42"/>
    <w:rsid w:val="006D426E"/>
    <w:rsid w:val="00702D03"/>
    <w:rsid w:val="00792280"/>
    <w:rsid w:val="00795BD7"/>
    <w:rsid w:val="007F06F9"/>
    <w:rsid w:val="00832766"/>
    <w:rsid w:val="00832921"/>
    <w:rsid w:val="008B66FF"/>
    <w:rsid w:val="008C2587"/>
    <w:rsid w:val="008C3AB3"/>
    <w:rsid w:val="008C7A6D"/>
    <w:rsid w:val="0092143E"/>
    <w:rsid w:val="0092716D"/>
    <w:rsid w:val="009C4D47"/>
    <w:rsid w:val="009F20ED"/>
    <w:rsid w:val="009F2FDF"/>
    <w:rsid w:val="00A143E2"/>
    <w:rsid w:val="00A7426D"/>
    <w:rsid w:val="00A75D31"/>
    <w:rsid w:val="00A85A0A"/>
    <w:rsid w:val="00AD1E83"/>
    <w:rsid w:val="00B135A3"/>
    <w:rsid w:val="00B47149"/>
    <w:rsid w:val="00B71961"/>
    <w:rsid w:val="00B84092"/>
    <w:rsid w:val="00BF35FD"/>
    <w:rsid w:val="00C10400"/>
    <w:rsid w:val="00C63A34"/>
    <w:rsid w:val="00C8254A"/>
    <w:rsid w:val="00D03912"/>
    <w:rsid w:val="00D157A1"/>
    <w:rsid w:val="00D53E8C"/>
    <w:rsid w:val="00D564D7"/>
    <w:rsid w:val="00D83C8C"/>
    <w:rsid w:val="00DA0F6E"/>
    <w:rsid w:val="00DD0524"/>
    <w:rsid w:val="00E13AAD"/>
    <w:rsid w:val="00E475A9"/>
    <w:rsid w:val="00E55688"/>
    <w:rsid w:val="00EB25A2"/>
    <w:rsid w:val="00ED5887"/>
    <w:rsid w:val="00EF1AE2"/>
    <w:rsid w:val="00EF4E7C"/>
    <w:rsid w:val="00F1275B"/>
    <w:rsid w:val="00F250D2"/>
    <w:rsid w:val="00F27141"/>
    <w:rsid w:val="00F2793F"/>
    <w:rsid w:val="00F31763"/>
    <w:rsid w:val="00F4536D"/>
    <w:rsid w:val="00FA316D"/>
    <w:rsid w:val="00FA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8413"/>
  <w15:chartTrackingRefBased/>
  <w15:docId w15:val="{CC84EF8A-1AF4-4040-A39A-B739614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63"/>
    <w:rPr>
      <w:color w:val="808080"/>
    </w:rPr>
  </w:style>
  <w:style w:type="paragraph" w:styleId="Revision">
    <w:name w:val="Revision"/>
    <w:hidden/>
    <w:uiPriority w:val="99"/>
    <w:semiHidden/>
    <w:rsid w:val="000F2240"/>
    <w:pPr>
      <w:spacing w:after="0" w:line="240" w:lineRule="auto"/>
    </w:pPr>
  </w:style>
  <w:style w:type="paragraph" w:customStyle="1" w:styleId="EndNoteBibliographyTitle">
    <w:name w:val="EndNote Bibliography Title"/>
    <w:basedOn w:val="Normal"/>
    <w:link w:val="EndNoteBibliographyTitleChar"/>
    <w:rsid w:val="003C2F1F"/>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3C2F1F"/>
    <w:rPr>
      <w:rFonts w:ascii="Calibri" w:hAnsi="Calibri" w:cs="Calibri"/>
    </w:rPr>
  </w:style>
  <w:style w:type="paragraph" w:customStyle="1" w:styleId="EndNoteBibliography">
    <w:name w:val="EndNote Bibliography"/>
    <w:basedOn w:val="Normal"/>
    <w:link w:val="EndNoteBibliographyChar"/>
    <w:rsid w:val="003C2F1F"/>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3C2F1F"/>
    <w:rPr>
      <w:rFonts w:ascii="Calibri" w:hAnsi="Calibri" w:cs="Calibri"/>
    </w:rPr>
  </w:style>
  <w:style w:type="character" w:styleId="CommentReference">
    <w:name w:val="annotation reference"/>
    <w:basedOn w:val="DefaultParagraphFont"/>
    <w:uiPriority w:val="99"/>
    <w:semiHidden/>
    <w:unhideWhenUsed/>
    <w:rsid w:val="00421856"/>
    <w:rPr>
      <w:sz w:val="16"/>
      <w:szCs w:val="16"/>
    </w:rPr>
  </w:style>
  <w:style w:type="paragraph" w:styleId="CommentText">
    <w:name w:val="annotation text"/>
    <w:basedOn w:val="Normal"/>
    <w:link w:val="CommentTextChar"/>
    <w:uiPriority w:val="99"/>
    <w:semiHidden/>
    <w:unhideWhenUsed/>
    <w:rsid w:val="00421856"/>
    <w:pPr>
      <w:spacing w:line="240" w:lineRule="auto"/>
    </w:pPr>
    <w:rPr>
      <w:sz w:val="20"/>
      <w:szCs w:val="20"/>
    </w:rPr>
  </w:style>
  <w:style w:type="character" w:customStyle="1" w:styleId="CommentTextChar">
    <w:name w:val="Comment Text Char"/>
    <w:basedOn w:val="DefaultParagraphFont"/>
    <w:link w:val="CommentText"/>
    <w:uiPriority w:val="99"/>
    <w:semiHidden/>
    <w:rsid w:val="00421856"/>
    <w:rPr>
      <w:sz w:val="20"/>
      <w:szCs w:val="20"/>
    </w:rPr>
  </w:style>
  <w:style w:type="paragraph" w:styleId="CommentSubject">
    <w:name w:val="annotation subject"/>
    <w:basedOn w:val="CommentText"/>
    <w:next w:val="CommentText"/>
    <w:link w:val="CommentSubjectChar"/>
    <w:uiPriority w:val="99"/>
    <w:semiHidden/>
    <w:unhideWhenUsed/>
    <w:rsid w:val="00421856"/>
    <w:rPr>
      <w:b/>
      <w:bCs/>
    </w:rPr>
  </w:style>
  <w:style w:type="character" w:customStyle="1" w:styleId="CommentSubjectChar">
    <w:name w:val="Comment Subject Char"/>
    <w:basedOn w:val="CommentTextChar"/>
    <w:link w:val="CommentSubject"/>
    <w:uiPriority w:val="99"/>
    <w:semiHidden/>
    <w:rsid w:val="004218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DC7A-7E89-4596-9D2D-7375356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McGee</dc:creator>
  <cp:keywords/>
  <dc:description/>
  <cp:lastModifiedBy>Desai, Sarah Elizabeth</cp:lastModifiedBy>
  <cp:revision>7</cp:revision>
  <dcterms:created xsi:type="dcterms:W3CDTF">2025-11-02T01:35:00Z</dcterms:created>
  <dcterms:modified xsi:type="dcterms:W3CDTF">2025-11-02T03:28:00Z</dcterms:modified>
</cp:coreProperties>
</file>