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54A8E">
      <w:pPr>
        <w:spacing w:before="0" w:after="0" w:line="240" w:lineRule="auto"/>
        <w:rPr>
          <w:rFonts w:hint="eastAsia"/>
          <w:b/>
        </w:rPr>
      </w:pPr>
      <w:r>
        <w:rPr>
          <w:b/>
        </w:rPr>
        <w:t>Early Clinical Outcomes of a Press-Fit Patellar Groove Replacement Prosthesis</w:t>
      </w:r>
      <w:r>
        <w:rPr>
          <w:rFonts w:hint="eastAsia"/>
          <w:b/>
        </w:rPr>
        <w:t>: A 200-Case Clinical Report</w:t>
      </w:r>
    </w:p>
    <w:p w14:paraId="4FA9CF3B">
      <w:pPr>
        <w:spacing w:before="0" w:after="0" w:line="240" w:lineRule="auto"/>
      </w:pPr>
      <w:r>
        <w:rPr>
          <w:b/>
        </w:rPr>
        <w:t>Objective</w:t>
      </w:r>
      <w:r>
        <w:rPr>
          <w:b/>
        </w:rPr>
        <w:br w:type="textWrapping"/>
      </w:r>
      <w:r>
        <w:t>Chronic patellar luxation and secondary cartilage erosion, or cartilage loss and degenerative changes following previous corrective surgery, frequently result in persistent stifle pain and limited joint function in small animals. Traditional corrective procedures often fail to fully restore normal femoropatellar function. This study aimed to describe the design concept, surgical technique, and early clinical outcomes of a newly developed press-fit patellar groove replacement (PGR) prosthesis, and to summarize the multicenter clinical experiences of surgeons across different regions of China.</w:t>
      </w:r>
    </w:p>
    <w:p w14:paraId="6454CD84">
      <w:pPr>
        <w:spacing w:before="0" w:after="0" w:line="240" w:lineRule="auto"/>
      </w:pPr>
      <w:r>
        <w:rPr>
          <w:b/>
        </w:rPr>
        <w:t>Study Design</w:t>
      </w:r>
      <w:r>
        <w:rPr>
          <w:b/>
        </w:rPr>
        <w:br w:type="textWrapping"/>
      </w:r>
      <w:r>
        <w:t>This prospective multicenter case series included 200 small animal patients (dogs and cats) that underwent PGR surgery between 2024 and 2025. All procedures were performed by multiple surgeons following a standardized surgical protocol. The prosthesis is a one-piece titanium alloy implant with a porous bone-contact surface to promote osseointegration and a mirror-polished articular surface for smooth patellar articulation. Surgical indications included trochlear dysplasia and chronic patellar luxation with cartilage erosion, as well as cartilage defects or osteoarthritis secondary to trochlear deepening procedures. In some toy breeds, the PGR was used as a primary corrective option for patellar luxation to restore normal femoropatellar alignment and motion, and to reduce the risk of post-deepening osteoarthritis. Surgery was performed through a parapatellar approach. The diseased trochlear groove was resected and reshaped to accommodate the press-fit prosthesis, ensuring the implant base was flush with the resection surface. Postoperative management included 4 weeks of restricted activity followed by progressive physiotherapy. Follow-up evaluations were performed at 2 weeks, 1 month, and 3 months postoperatively, assessing gait function, joint stability, radiographic osseointegration, and complications.</w:t>
      </w:r>
    </w:p>
    <w:p w14:paraId="553DC952">
      <w:pPr>
        <w:spacing w:before="0" w:after="0" w:line="240" w:lineRule="auto"/>
      </w:pPr>
      <w:r>
        <w:rPr>
          <w:b/>
        </w:rPr>
        <w:t>Results</w:t>
      </w:r>
      <w:r>
        <w:rPr>
          <w:b/>
        </w:rPr>
        <w:br w:type="textWrapping"/>
      </w:r>
      <w:r>
        <w:rPr>
          <w:rFonts w:hint="eastAsia"/>
        </w:rPr>
        <w:t>All 200 procedures were successfully completed, with a mean surgical time of 38 minutes (range, 28–55 minutes).</w:t>
      </w:r>
      <w:r>
        <w:rPr>
          <w:rFonts w:hint="default"/>
          <w:lang w:val="en-US"/>
        </w:rPr>
        <w:t xml:space="preserve"> </w:t>
      </w:r>
      <w:r>
        <w:rPr>
          <w:rFonts w:hint="eastAsia"/>
        </w:rPr>
        <w:t>The study included 24 medium-to-large breed dogs, 155 small-breed dogs, and 21 cats.</w:t>
      </w:r>
      <w:r>
        <w:rPr>
          <w:rFonts w:hint="default"/>
          <w:lang w:val="en-US"/>
        </w:rPr>
        <w:t xml:space="preserve"> </w:t>
      </w:r>
      <w:r>
        <w:rPr>
          <w:rFonts w:hint="eastAsia"/>
        </w:rPr>
        <w:t>The mean (±SD) body weight was 5.63 ± 2.9 kg in dogs and 5.52 ± 1.7 kg in cats;</w:t>
      </w:r>
      <w:r>
        <w:rPr>
          <w:rFonts w:hint="default"/>
          <w:lang w:val="en-US"/>
        </w:rPr>
        <w:t xml:space="preserve"> </w:t>
      </w:r>
      <w:r>
        <w:rPr>
          <w:rFonts w:hint="eastAsia"/>
        </w:rPr>
        <w:t>the mean (±SD) age was 3.89 ± 2.1 years in dogs and 1.85 ± 0.9 years in cats;</w:t>
      </w:r>
      <w:r>
        <w:rPr>
          <w:rFonts w:hint="default"/>
          <w:lang w:val="en-US"/>
        </w:rPr>
        <w:t xml:space="preserve"> </w:t>
      </w:r>
      <w:r>
        <w:rPr>
          <w:rFonts w:hint="eastAsia"/>
        </w:rPr>
        <w:t>and the mean (±SD) follow-up period was 8.3 ± 3.1 weeks in dogs and 9.2 ± 3.4 weeks in cats.</w:t>
      </w:r>
      <w:r>
        <w:rPr>
          <w:rFonts w:hint="default"/>
          <w:lang w:val="en-US"/>
        </w:rPr>
        <w:t xml:space="preserve"> </w:t>
      </w:r>
      <w:r>
        <w:rPr>
          <w:rFonts w:hint="eastAsia"/>
        </w:rPr>
        <w:t>Postoperative complications occurred in 10 cases (5.0%), including superficial infection (2/200), patellar reluxation due to suture dehiscence (3/200), peripatellar cartilage hypertrophy secondary to mild malalignment (1/200), and patellar reluxation associated with uncorrected tibial torsion (4/200).</w:t>
      </w:r>
      <w:r>
        <w:rPr>
          <w:rFonts w:hint="default"/>
          <w:lang w:val="en-US"/>
        </w:rPr>
        <w:t xml:space="preserve"> </w:t>
      </w:r>
      <w:r>
        <w:rPr>
          <w:rFonts w:hint="eastAsia"/>
        </w:rPr>
        <w:t>Major complications requiring a second surgery occurred in 10 dogs (5%) and no cats.</w:t>
      </w:r>
      <w:r>
        <w:rPr>
          <w:rFonts w:hint="default"/>
          <w:lang w:val="en-US"/>
        </w:rPr>
        <w:t xml:space="preserve"> </w:t>
      </w:r>
      <w:r>
        <w:rPr>
          <w:rFonts w:hint="eastAsia"/>
        </w:rPr>
        <w:t>All cases recovered well after secondary surgical or conservative management.</w:t>
      </w:r>
      <w:r>
        <w:rPr>
          <w:rFonts w:hint="default"/>
          <w:lang w:val="en-US"/>
        </w:rPr>
        <w:t xml:space="preserve"> </w:t>
      </w:r>
      <w:r>
        <w:rPr>
          <w:rFonts w:hint="eastAsia"/>
        </w:rPr>
        <w:t>No implant loosening, fixation failure, or bone integration issues were identified.</w:t>
      </w:r>
      <w:r>
        <w:rPr>
          <w:rFonts w:hint="default"/>
          <w:lang w:val="en-US"/>
        </w:rPr>
        <w:t xml:space="preserve"> </w:t>
      </w:r>
      <w:r>
        <w:rPr>
          <w:rFonts w:hint="eastAsia"/>
        </w:rPr>
        <w:t>Most patients resumed weight-bearing within 7–10 days and achieved full functional recovery within 2–4 weeks.</w:t>
      </w:r>
      <w:r>
        <w:rPr>
          <w:rFonts w:hint="default"/>
          <w:lang w:val="en-US"/>
        </w:rPr>
        <w:t xml:space="preserve"> </w:t>
      </w:r>
      <w:r>
        <w:rPr>
          <w:rFonts w:hint="eastAsia"/>
        </w:rPr>
        <w:t>At the 3-month follow-up, all cases demonstrated stable implant positioning, smooth patellar tracking, and absence of lameness or crepitus.</w:t>
      </w:r>
      <w:r>
        <w:rPr>
          <w:rFonts w:hint="default"/>
          <w:lang w:val="en-US"/>
        </w:rPr>
        <w:t xml:space="preserve"> </w:t>
      </w:r>
      <w:r>
        <w:rPr>
          <w:rFonts w:hint="eastAsia"/>
        </w:rPr>
        <w:t>Radiographic evaluation confirmed osseous integration at the bone–implant interface without migration or osteolysis.</w:t>
      </w:r>
    </w:p>
    <w:p w14:paraId="591244E7">
      <w:pPr>
        <w:spacing w:before="0" w:after="0" w:line="240" w:lineRule="auto"/>
      </w:pPr>
      <w:r>
        <w:rPr>
          <w:b/>
        </w:rPr>
        <w:t>Conclusion</w:t>
      </w:r>
      <w:r>
        <w:rPr>
          <w:b/>
        </w:rPr>
        <w:br w:type="textWrapping"/>
      </w:r>
      <w:r>
        <w:t>The press-fit PGR prosthesis provides a simple, reliable, and minimally invasive technique for reconstructing the patellar groove in small animals with trochlear cartilage erosion or degenerative disease. Its single-piece titanium design enables stable fixation without screws or bone cement and achieves rapid bone integration. Early clinical outcomes demonstrate low complication rates and satisfactory restoration of joint function. Further long-term and controlled studies are warranted to evaluate biomechanical durability and to validate its application in both primary and revision patellar luxation surgeries.</w:t>
      </w:r>
    </w:p>
    <w:p w14:paraId="0888949C">
      <w:pPr>
        <w:spacing w:before="0" w:after="0" w:line="240" w:lineRule="auto"/>
      </w:pPr>
      <w:r>
        <w:rPr>
          <w:b/>
        </w:rPr>
        <w:t>Acknowledgements</w:t>
      </w:r>
      <w:r>
        <w:rPr>
          <w:b/>
        </w:rPr>
        <w:br w:type="textWrapping"/>
      </w:r>
      <w:r>
        <w:rPr>
          <w:rFonts w:hint="eastAsia" w:ascii="Arial" w:hAnsi="Arial" w:eastAsia="Arial"/>
        </w:rPr>
        <w:t>Implants were procured throu</w:t>
      </w:r>
      <w:bookmarkStart w:id="0" w:name="_GoBack"/>
      <w:bookmarkEnd w:id="0"/>
      <w:r>
        <w:rPr>
          <w:rFonts w:hint="eastAsia" w:ascii="Arial" w:hAnsi="Arial" w:eastAsia="Arial"/>
        </w:rPr>
        <w:t>gh routine clinical purchasing by participating hospitals; no study-specific funding or donated implants were provided</w:t>
      </w:r>
      <w:r>
        <w:rPr>
          <w:rFonts w:hint="default" w:ascii="Arial" w:hAnsi="Arial" w:eastAsia="Arial"/>
          <w:lang w:val="en-US"/>
        </w:rPr>
        <w:t>.</w:t>
      </w:r>
      <w:r>
        <w:rPr>
          <w:rFonts w:ascii="Arial" w:hAnsi="Arial" w:eastAsia="Arial"/>
        </w:rPr>
        <w:t xml:space="preserve"> </w:t>
      </w:r>
      <w:r>
        <w:rPr>
          <w:rFonts w:hint="default"/>
          <w:lang w:val="en-US"/>
        </w:rPr>
        <w:t>The</w:t>
      </w:r>
      <w:r>
        <w:t xml:space="preserve"> author has received honoraria as a paid lecturer from the implant manufacturer; this relationship had no role in the study design, data collection, analysis, or the decision to submit this abstract.</w:t>
      </w:r>
    </w:p>
    <w:p w14:paraId="53DEA9BA">
      <w:pPr>
        <w:spacing w:before="0" w:after="0" w:line="240" w:lineRule="auto"/>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80"/>
    <w:family w:val="roman"/>
    <w:pitch w:val="default"/>
    <w:sig w:usb0="00000000" w:usb1="00000000" w:usb2="00000010" w:usb3="00000000" w:csb0="00020000" w:csb1="00000000"/>
  </w:font>
  <w:font w:name="Cambria">
    <w:altName w:val="苹方-简"/>
    <w:panose1 w:val="02040503050406030204"/>
    <w:charset w:val="00"/>
    <w:family w:val="auto"/>
    <w:pitch w:val="default"/>
    <w:sig w:usb0="00000000" w:usb1="00000000" w:usb2="00000000"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7FBFB3F"/>
    <w:rsid w:val="BEF6EF78"/>
    <w:rsid w:val="DB7F89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24"/>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7"/>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5"/>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7"/>
    <w:unhideWhenUsed/>
    <w:uiPriority w:val="99"/>
    <w:pPr>
      <w:tabs>
        <w:tab w:val="center" w:pos="4680"/>
        <w:tab w:val="right" w:pos="9360"/>
      </w:tabs>
      <w:spacing w:after="0" w:line="240" w:lineRule="auto"/>
    </w:pPr>
  </w:style>
  <w:style w:type="paragraph" w:styleId="25">
    <w:name w:val="header"/>
    <w:basedOn w:val="1"/>
    <w:link w:val="136"/>
    <w:unhideWhenUsed/>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6"/>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31">
    <w:name w:val="List Continue 3"/>
    <w:basedOn w:val="1"/>
    <w:unhideWhenUsed/>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uiPriority w:val="99"/>
  </w:style>
  <w:style w:type="character" w:customStyle="1" w:styleId="137">
    <w:name w:val="Footer Char"/>
    <w:basedOn w:val="133"/>
    <w:link w:val="24"/>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uiPriority w:val="99"/>
  </w:style>
  <w:style w:type="character" w:customStyle="1" w:styleId="146">
    <w:name w:val="Body Text 2 Char"/>
    <w:basedOn w:val="133"/>
    <w:link w:val="28"/>
    <w:uiPriority w:val="99"/>
  </w:style>
  <w:style w:type="character" w:customStyle="1" w:styleId="147">
    <w:name w:val="Body Text 3 Char"/>
    <w:basedOn w:val="133"/>
    <w:link w:val="17"/>
    <w:uiPriority w:val="99"/>
    <w:rPr>
      <w:sz w:val="16"/>
      <w:szCs w:val="16"/>
    </w:rPr>
  </w:style>
  <w:style w:type="character" w:customStyle="1" w:styleId="148">
    <w:name w:val="Macro Text Char"/>
    <w:basedOn w:val="133"/>
    <w:link w:val="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uiPriority w:val="29"/>
    <w:rPr>
      <w:i/>
      <w:iCs/>
      <w:color w:val="000000" w:themeColor="text1"/>
      <w14:textFill>
        <w14:solidFill>
          <w14:schemeClr w14:val="tx1"/>
        </w14:solidFill>
      </w14:textFill>
    </w:rPr>
  </w:style>
  <w:style w:type="character" w:customStyle="1" w:styleId="151">
    <w:name w:val="Heading 4 Char"/>
    <w:basedOn w:val="133"/>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2013-12-23T08:15:00Z</dcterms:created>
  <dc:creator>python-docx</dc:creator>
  <dc:description>generated by python-docx</dc:description>
  <cp:lastModifiedBy>小生生</cp:lastModifiedBy>
  <dcterms:modified xsi:type="dcterms:W3CDTF">2025-11-01T02:18:14Z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9A53136AE47DBAF161FA0269E853EDF9_42</vt:lpwstr>
  </property>
</Properties>
</file>