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F718" w14:textId="77777777" w:rsidR="00F46184" w:rsidRPr="003E2DDD" w:rsidRDefault="00F46184" w:rsidP="004C248A">
      <w:pPr>
        <w:spacing w:after="0" w:line="240" w:lineRule="auto"/>
        <w:rPr>
          <w:rStyle w:val="word"/>
          <w:rFonts w:ascii="Arial" w:hAnsi="Arial" w:cs="Arial"/>
          <w:b/>
          <w:bCs/>
          <w:color w:val="000000" w:themeColor="text1"/>
          <w:sz w:val="24"/>
          <w:szCs w:val="24"/>
        </w:rPr>
      </w:pPr>
      <w:r w:rsidRPr="003E2DDD">
        <w:rPr>
          <w:rStyle w:val="word"/>
          <w:rFonts w:ascii="Arial" w:hAnsi="Arial" w:cs="Arial"/>
          <w:b/>
          <w:bCs/>
          <w:color w:val="000000" w:themeColor="text1"/>
          <w:sz w:val="24"/>
          <w:szCs w:val="24"/>
        </w:rPr>
        <w:t>Cemented</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and</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Cementless</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Total</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Knee</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Replacement</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in</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Dogs</w:t>
      </w:r>
      <w:r w:rsidRPr="003E2DDD">
        <w:rPr>
          <w:rFonts w:ascii="Arial" w:hAnsi="Arial" w:cs="Arial"/>
          <w:b/>
          <w:bCs/>
          <w:color w:val="000000" w:themeColor="text1"/>
          <w:sz w:val="24"/>
          <w:szCs w:val="24"/>
        </w:rPr>
        <w:t> – </w:t>
      </w:r>
      <w:r w:rsidRPr="003E2DDD">
        <w:rPr>
          <w:rStyle w:val="word"/>
          <w:rFonts w:ascii="Arial" w:hAnsi="Arial" w:cs="Arial"/>
          <w:b/>
          <w:bCs/>
          <w:color w:val="000000" w:themeColor="text1"/>
          <w:sz w:val="24"/>
          <w:szCs w:val="24"/>
        </w:rPr>
        <w:t>Clinical</w:t>
      </w:r>
      <w:r w:rsidRPr="003E2DDD">
        <w:rPr>
          <w:rFonts w:ascii="Arial" w:hAnsi="Arial" w:cs="Arial"/>
          <w:b/>
          <w:bCs/>
          <w:color w:val="000000" w:themeColor="text1"/>
          <w:sz w:val="24"/>
          <w:szCs w:val="24"/>
        </w:rPr>
        <w:t> </w:t>
      </w:r>
      <w:r w:rsidRPr="003E2DDD">
        <w:rPr>
          <w:rStyle w:val="word"/>
          <w:rFonts w:ascii="Arial" w:hAnsi="Arial" w:cs="Arial"/>
          <w:b/>
          <w:bCs/>
          <w:color w:val="000000" w:themeColor="text1"/>
          <w:sz w:val="24"/>
          <w:szCs w:val="24"/>
        </w:rPr>
        <w:t>Outcomes</w:t>
      </w:r>
    </w:p>
    <w:p w14:paraId="1EEFCC7E" w14:textId="46E19549" w:rsidR="007D6D81" w:rsidRPr="007E0475" w:rsidRDefault="00531CC2" w:rsidP="004C248A">
      <w:pPr>
        <w:pStyle w:val="NormalWeb"/>
        <w:rPr>
          <w:rFonts w:ascii="Arial" w:hAnsi="Arial" w:cs="Arial"/>
        </w:rPr>
      </w:pPr>
      <w:r w:rsidRPr="007E0475">
        <w:rPr>
          <w:rFonts w:ascii="Arial" w:hAnsi="Arial" w:cs="Arial"/>
          <w:b/>
          <w:bCs/>
        </w:rPr>
        <w:t>Objective:</w:t>
      </w:r>
      <w:r w:rsidR="00F31763" w:rsidRPr="007E0475">
        <w:rPr>
          <w:rFonts w:ascii="Arial" w:hAnsi="Arial" w:cs="Arial"/>
        </w:rPr>
        <w:t xml:space="preserve"> </w:t>
      </w:r>
      <w:r w:rsidR="00FF283A" w:rsidRPr="007E0475">
        <w:rPr>
          <w:rFonts w:ascii="Arial" w:hAnsi="Arial" w:cs="Arial"/>
        </w:rPr>
        <w:t xml:space="preserve">Total knee replacement </w:t>
      </w:r>
      <w:r w:rsidR="00264592" w:rsidRPr="007E0475">
        <w:rPr>
          <w:rFonts w:ascii="Arial" w:hAnsi="Arial" w:cs="Arial"/>
        </w:rPr>
        <w:t xml:space="preserve">(TKR) </w:t>
      </w:r>
      <w:r w:rsidR="00FF283A" w:rsidRPr="007E0475">
        <w:rPr>
          <w:rFonts w:ascii="Arial" w:hAnsi="Arial" w:cs="Arial"/>
        </w:rPr>
        <w:t xml:space="preserve">is effective </w:t>
      </w:r>
      <w:r w:rsidR="002A7333" w:rsidRPr="007E0475">
        <w:rPr>
          <w:rFonts w:ascii="Arial" w:hAnsi="Arial" w:cs="Arial"/>
        </w:rPr>
        <w:t xml:space="preserve">in </w:t>
      </w:r>
      <w:r w:rsidR="00FF283A" w:rsidRPr="007E0475">
        <w:rPr>
          <w:rFonts w:ascii="Arial" w:hAnsi="Arial" w:cs="Arial"/>
        </w:rPr>
        <w:t>relieving pain and improving mobility in dogs with end</w:t>
      </w:r>
      <w:r w:rsidR="005F41B2" w:rsidRPr="007E0475">
        <w:rPr>
          <w:rFonts w:ascii="Arial" w:hAnsi="Arial" w:cs="Arial"/>
        </w:rPr>
        <w:t>-</w:t>
      </w:r>
      <w:r w:rsidR="00FF283A" w:rsidRPr="007E0475">
        <w:rPr>
          <w:rFonts w:ascii="Arial" w:hAnsi="Arial" w:cs="Arial"/>
        </w:rPr>
        <w:t>stage stifle disease</w:t>
      </w:r>
      <w:r w:rsidR="00613146" w:rsidRPr="007E0475">
        <w:rPr>
          <w:rFonts w:ascii="Arial" w:hAnsi="Arial" w:cs="Arial"/>
        </w:rPr>
        <w:t xml:space="preserve"> (1)</w:t>
      </w:r>
      <w:r w:rsidR="00FF283A" w:rsidRPr="007E0475">
        <w:rPr>
          <w:rFonts w:ascii="Arial" w:hAnsi="Arial" w:cs="Arial"/>
        </w:rPr>
        <w:t xml:space="preserve">. </w:t>
      </w:r>
      <w:r w:rsidR="007E0475" w:rsidRPr="007E0475">
        <w:rPr>
          <w:rFonts w:ascii="Arial" w:hAnsi="Arial" w:cs="Arial"/>
        </w:rPr>
        <w:t xml:space="preserve">The </w:t>
      </w:r>
      <w:r w:rsidR="007D6D81" w:rsidRPr="007E0475">
        <w:rPr>
          <w:rFonts w:ascii="Arial" w:hAnsi="Arial" w:cs="Arial"/>
        </w:rPr>
        <w:t xml:space="preserve">introduction of </w:t>
      </w:r>
      <w:r w:rsidR="00264592" w:rsidRPr="007E0475">
        <w:rPr>
          <w:rFonts w:ascii="Arial" w:hAnsi="Arial" w:cs="Arial"/>
        </w:rPr>
        <w:t>TKR</w:t>
      </w:r>
      <w:r w:rsidR="007D6D81" w:rsidRPr="007E0475">
        <w:rPr>
          <w:rFonts w:ascii="Arial" w:hAnsi="Arial" w:cs="Arial"/>
        </w:rPr>
        <w:t xml:space="preserve"> was initially met with enthusiasm,</w:t>
      </w:r>
      <w:r w:rsidR="007E0475" w:rsidRPr="007E0475">
        <w:rPr>
          <w:rFonts w:ascii="Arial" w:hAnsi="Arial" w:cs="Arial"/>
        </w:rPr>
        <w:t xml:space="preserve"> but </w:t>
      </w:r>
      <w:r w:rsidR="007D6D81" w:rsidRPr="007E0475">
        <w:rPr>
          <w:rFonts w:ascii="Arial" w:hAnsi="Arial" w:cs="Arial"/>
        </w:rPr>
        <w:t>adoption of the procedure has been slow</w:t>
      </w:r>
      <w:r w:rsidR="007E0475" w:rsidRPr="007E0475">
        <w:rPr>
          <w:rFonts w:ascii="Arial" w:hAnsi="Arial" w:cs="Arial"/>
        </w:rPr>
        <w:t xml:space="preserve">, which is concerning </w:t>
      </w:r>
      <w:r w:rsidR="007D6D81" w:rsidRPr="007E0475">
        <w:rPr>
          <w:rFonts w:ascii="Arial" w:hAnsi="Arial" w:cs="Arial"/>
        </w:rPr>
        <w:t xml:space="preserve">given the substantial population of dogs with end-stage osteoarthritis that are poorly managed with medical therapy alone. Several factors likely contribute to this limited uptake, including the </w:t>
      </w:r>
      <w:r w:rsidR="002A7333" w:rsidRPr="007E0475">
        <w:rPr>
          <w:rFonts w:ascii="Arial" w:hAnsi="Arial" w:cs="Arial"/>
        </w:rPr>
        <w:t xml:space="preserve">challenging </w:t>
      </w:r>
      <w:r w:rsidR="007E0475" w:rsidRPr="007E0475">
        <w:rPr>
          <w:rFonts w:ascii="Arial" w:hAnsi="Arial" w:cs="Arial"/>
        </w:rPr>
        <w:t>surgical l</w:t>
      </w:r>
      <w:r w:rsidR="007D6D81" w:rsidRPr="007E0475">
        <w:rPr>
          <w:rFonts w:ascii="Arial" w:hAnsi="Arial" w:cs="Arial"/>
        </w:rPr>
        <w:t xml:space="preserve">earning curve, uncertainty </w:t>
      </w:r>
      <w:r w:rsidR="0030259F" w:rsidRPr="007E0475">
        <w:rPr>
          <w:rFonts w:ascii="Arial" w:hAnsi="Arial" w:cs="Arial"/>
        </w:rPr>
        <w:t>about</w:t>
      </w:r>
      <w:r w:rsidR="007D6D81" w:rsidRPr="007E0475">
        <w:rPr>
          <w:rFonts w:ascii="Arial" w:hAnsi="Arial" w:cs="Arial"/>
        </w:rPr>
        <w:t xml:space="preserve"> appropriate case selection criteria, financial considerations, and the absence of </w:t>
      </w:r>
      <w:r w:rsidR="002A7333" w:rsidRPr="007E0475">
        <w:rPr>
          <w:rFonts w:ascii="Arial" w:hAnsi="Arial" w:cs="Arial"/>
        </w:rPr>
        <w:t xml:space="preserve">acceptable </w:t>
      </w:r>
      <w:r w:rsidR="007D6D81" w:rsidRPr="007E0475">
        <w:rPr>
          <w:rFonts w:ascii="Arial" w:hAnsi="Arial" w:cs="Arial"/>
        </w:rPr>
        <w:t>contingenc</w:t>
      </w:r>
      <w:r w:rsidR="007E0475" w:rsidRPr="007E0475">
        <w:rPr>
          <w:rFonts w:ascii="Arial" w:hAnsi="Arial" w:cs="Arial"/>
        </w:rPr>
        <w:t xml:space="preserve">ies </w:t>
      </w:r>
      <w:r w:rsidR="007D6D81" w:rsidRPr="007E0475">
        <w:rPr>
          <w:rFonts w:ascii="Arial" w:hAnsi="Arial" w:cs="Arial"/>
        </w:rPr>
        <w:t>in the event of complications.</w:t>
      </w:r>
    </w:p>
    <w:p w14:paraId="31A203C8" w14:textId="1EE3464C" w:rsidR="00264592" w:rsidRPr="007E0475" w:rsidRDefault="00110866" w:rsidP="004C248A">
      <w:pPr>
        <w:pStyle w:val="NormalWeb"/>
        <w:rPr>
          <w:rFonts w:ascii="Arial" w:hAnsi="Arial" w:cs="Arial"/>
          <w:color w:val="000000" w:themeColor="text1"/>
        </w:rPr>
      </w:pPr>
      <w:r w:rsidRPr="007E0475">
        <w:rPr>
          <w:rFonts w:ascii="Arial" w:hAnsi="Arial" w:cs="Arial"/>
        </w:rPr>
        <w:t>Despite growing clinical experience and confidence among surgeons performing the procedure</w:t>
      </w:r>
      <w:r w:rsidR="007D6D81" w:rsidRPr="007E0475">
        <w:rPr>
          <w:rFonts w:ascii="Arial" w:hAnsi="Arial" w:cs="Arial"/>
        </w:rPr>
        <w:t xml:space="preserve">, </w:t>
      </w:r>
      <w:r w:rsidRPr="007E0475">
        <w:rPr>
          <w:rFonts w:ascii="Arial" w:hAnsi="Arial" w:cs="Arial"/>
        </w:rPr>
        <w:t>objective data</w:t>
      </w:r>
      <w:r w:rsidR="007D6D81" w:rsidRPr="007E0475">
        <w:rPr>
          <w:rFonts w:ascii="Arial" w:hAnsi="Arial" w:cs="Arial"/>
        </w:rPr>
        <w:t xml:space="preserve"> </w:t>
      </w:r>
      <w:r w:rsidR="0030259F" w:rsidRPr="007E0475">
        <w:rPr>
          <w:rFonts w:ascii="Arial" w:hAnsi="Arial" w:cs="Arial"/>
        </w:rPr>
        <w:t>on</w:t>
      </w:r>
      <w:r w:rsidR="007D6D81" w:rsidRPr="007E0475">
        <w:rPr>
          <w:rFonts w:ascii="Arial" w:hAnsi="Arial" w:cs="Arial"/>
        </w:rPr>
        <w:t xml:space="preserve"> clinical </w:t>
      </w:r>
      <w:r w:rsidR="0030259F" w:rsidRPr="007E0475">
        <w:rPr>
          <w:rFonts w:ascii="Arial" w:hAnsi="Arial" w:cs="Arial"/>
        </w:rPr>
        <w:t>outcome</w:t>
      </w:r>
      <w:r w:rsidR="007D6D81" w:rsidRPr="007E0475">
        <w:rPr>
          <w:rFonts w:ascii="Arial" w:hAnsi="Arial" w:cs="Arial"/>
        </w:rPr>
        <w:t>s</w:t>
      </w:r>
      <w:r w:rsidRPr="007E0475">
        <w:rPr>
          <w:rFonts w:ascii="Arial" w:hAnsi="Arial" w:cs="Arial"/>
        </w:rPr>
        <w:t xml:space="preserve"> are scarce</w:t>
      </w:r>
      <w:r w:rsidR="007D6D81" w:rsidRPr="007E0475">
        <w:rPr>
          <w:rFonts w:ascii="Arial" w:hAnsi="Arial" w:cs="Arial"/>
        </w:rPr>
        <w:t xml:space="preserve">. To date, </w:t>
      </w:r>
      <w:r w:rsidR="006D218D" w:rsidRPr="007E0475">
        <w:rPr>
          <w:rFonts w:ascii="Arial" w:hAnsi="Arial" w:cs="Arial"/>
          <w:color w:val="000000" w:themeColor="text1"/>
        </w:rPr>
        <w:t xml:space="preserve">only one case series and </w:t>
      </w:r>
      <w:r w:rsidR="002A7333" w:rsidRPr="007E0475">
        <w:rPr>
          <w:rFonts w:ascii="Arial" w:hAnsi="Arial" w:cs="Arial"/>
          <w:color w:val="000000" w:themeColor="text1"/>
        </w:rPr>
        <w:t xml:space="preserve">two </w:t>
      </w:r>
      <w:r w:rsidR="006D218D" w:rsidRPr="007E0475">
        <w:rPr>
          <w:rFonts w:ascii="Arial" w:hAnsi="Arial" w:cs="Arial"/>
          <w:color w:val="000000" w:themeColor="text1"/>
        </w:rPr>
        <w:t>recent case report</w:t>
      </w:r>
      <w:r w:rsidR="002A7333" w:rsidRPr="007E0475">
        <w:rPr>
          <w:rFonts w:ascii="Arial" w:hAnsi="Arial" w:cs="Arial"/>
          <w:color w:val="000000" w:themeColor="text1"/>
        </w:rPr>
        <w:t>s</w:t>
      </w:r>
      <w:r w:rsidR="006D218D" w:rsidRPr="007E0475">
        <w:rPr>
          <w:rFonts w:ascii="Arial" w:hAnsi="Arial" w:cs="Arial"/>
          <w:color w:val="000000" w:themeColor="text1"/>
        </w:rPr>
        <w:t xml:space="preserve"> have described postoperative outcomes f</w:t>
      </w:r>
      <w:r w:rsidR="007D6D81" w:rsidRPr="007E0475">
        <w:rPr>
          <w:rFonts w:ascii="Arial" w:hAnsi="Arial" w:cs="Arial"/>
        </w:rPr>
        <w:t xml:space="preserve">ollowing </w:t>
      </w:r>
      <w:r w:rsidR="007E0475" w:rsidRPr="007E0475">
        <w:rPr>
          <w:rFonts w:ascii="Arial" w:hAnsi="Arial" w:cs="Arial"/>
        </w:rPr>
        <w:t xml:space="preserve">canine </w:t>
      </w:r>
      <w:r w:rsidR="007D6D81" w:rsidRPr="007E0475">
        <w:rPr>
          <w:rFonts w:ascii="Arial" w:hAnsi="Arial" w:cs="Arial"/>
        </w:rPr>
        <w:t xml:space="preserve">TKR </w:t>
      </w:r>
      <w:r w:rsidRPr="007E0475">
        <w:rPr>
          <w:rFonts w:ascii="Arial" w:hAnsi="Arial" w:cs="Arial"/>
        </w:rPr>
        <w:t>(</w:t>
      </w:r>
      <w:r w:rsidR="002A7333" w:rsidRPr="007E0475">
        <w:rPr>
          <w:rFonts w:ascii="Arial" w:hAnsi="Arial" w:cs="Arial"/>
        </w:rPr>
        <w:t>1-</w:t>
      </w:r>
      <w:r w:rsidR="00613146" w:rsidRPr="007E0475">
        <w:rPr>
          <w:rFonts w:ascii="Arial" w:hAnsi="Arial" w:cs="Arial"/>
        </w:rPr>
        <w:t>3</w:t>
      </w:r>
      <w:r w:rsidRPr="007E0475">
        <w:rPr>
          <w:rFonts w:ascii="Arial" w:hAnsi="Arial" w:cs="Arial"/>
        </w:rPr>
        <w:t>).</w:t>
      </w:r>
      <w:r w:rsidR="00613146" w:rsidRPr="007E0475">
        <w:rPr>
          <w:rFonts w:ascii="Arial" w:hAnsi="Arial" w:cs="Arial"/>
        </w:rPr>
        <w:t xml:space="preserve"> </w:t>
      </w:r>
      <w:r w:rsidR="00264592" w:rsidRPr="007E0475">
        <w:rPr>
          <w:rFonts w:ascii="Arial" w:hAnsi="Arial" w:cs="Arial"/>
          <w:color w:val="000000" w:themeColor="text1"/>
        </w:rPr>
        <w:t xml:space="preserve">The goal of this study was to address the </w:t>
      </w:r>
      <w:r w:rsidRPr="007E0475">
        <w:rPr>
          <w:rFonts w:ascii="Arial" w:hAnsi="Arial" w:cs="Arial"/>
          <w:color w:val="000000" w:themeColor="text1"/>
        </w:rPr>
        <w:t xml:space="preserve">paucity of literature </w:t>
      </w:r>
      <w:r w:rsidR="00264592" w:rsidRPr="007E0475">
        <w:rPr>
          <w:rFonts w:ascii="Arial" w:hAnsi="Arial" w:cs="Arial"/>
          <w:color w:val="000000" w:themeColor="text1"/>
        </w:rPr>
        <w:t xml:space="preserve">by reporting clinical outcomes from a case series of 67 </w:t>
      </w:r>
      <w:r w:rsidR="003919DE" w:rsidRPr="007E0475">
        <w:rPr>
          <w:rFonts w:ascii="Arial" w:hAnsi="Arial" w:cs="Arial"/>
          <w:color w:val="000000" w:themeColor="text1"/>
        </w:rPr>
        <w:t xml:space="preserve">cemented and </w:t>
      </w:r>
      <w:r w:rsidRPr="007E0475">
        <w:rPr>
          <w:rFonts w:ascii="Arial" w:hAnsi="Arial" w:cs="Arial"/>
          <w:color w:val="000000" w:themeColor="text1"/>
        </w:rPr>
        <w:t>cementless</w:t>
      </w:r>
      <w:r w:rsidR="003919DE" w:rsidRPr="007E0475">
        <w:rPr>
          <w:rFonts w:ascii="Arial" w:hAnsi="Arial" w:cs="Arial"/>
          <w:color w:val="000000" w:themeColor="text1"/>
        </w:rPr>
        <w:t xml:space="preserve"> </w:t>
      </w:r>
      <w:r w:rsidRPr="007E0475">
        <w:rPr>
          <w:rFonts w:ascii="Arial" w:hAnsi="Arial" w:cs="Arial"/>
          <w:color w:val="000000" w:themeColor="text1"/>
        </w:rPr>
        <w:t>TK</w:t>
      </w:r>
      <w:r w:rsidR="003919DE" w:rsidRPr="007E0475">
        <w:rPr>
          <w:rFonts w:ascii="Arial" w:hAnsi="Arial" w:cs="Arial"/>
          <w:color w:val="000000" w:themeColor="text1"/>
        </w:rPr>
        <w:t>R.</w:t>
      </w:r>
      <w:r w:rsidR="00E02600" w:rsidRPr="007E0475">
        <w:rPr>
          <w:rFonts w:ascii="Arial" w:hAnsi="Arial" w:cs="Arial"/>
          <w:color w:val="000000" w:themeColor="text1"/>
        </w:rPr>
        <w:t xml:space="preserve"> </w:t>
      </w:r>
    </w:p>
    <w:p w14:paraId="12C7EAB3" w14:textId="7DA8C042" w:rsidR="00264592" w:rsidRPr="007E0475" w:rsidRDefault="00531CC2" w:rsidP="004C248A">
      <w:pPr>
        <w:spacing w:line="240" w:lineRule="auto"/>
        <w:jc w:val="both"/>
        <w:rPr>
          <w:rFonts w:ascii="Arial" w:hAnsi="Arial" w:cs="Arial"/>
          <w:sz w:val="24"/>
          <w:szCs w:val="24"/>
        </w:rPr>
      </w:pPr>
      <w:r w:rsidRPr="00D46AFF">
        <w:rPr>
          <w:rFonts w:ascii="Arial" w:hAnsi="Arial" w:cs="Arial"/>
          <w:b/>
          <w:bCs/>
          <w:sz w:val="24"/>
          <w:szCs w:val="24"/>
        </w:rPr>
        <w:t>Study Design:</w:t>
      </w:r>
      <w:r w:rsidR="00BC0FB2" w:rsidRPr="00D46AFF">
        <w:rPr>
          <w:rFonts w:ascii="Arial" w:hAnsi="Arial" w:cs="Arial"/>
          <w:b/>
          <w:bCs/>
          <w:sz w:val="24"/>
          <w:szCs w:val="24"/>
        </w:rPr>
        <w:t xml:space="preserve"> </w:t>
      </w:r>
      <w:r w:rsidR="00BC0FB2" w:rsidRPr="007E0475">
        <w:rPr>
          <w:rFonts w:ascii="Arial" w:hAnsi="Arial" w:cs="Arial"/>
          <w:sz w:val="24"/>
          <w:szCs w:val="24"/>
        </w:rPr>
        <w:t>This was a multicenter retrospective case series. Active, certified TKR surgeons with more than 6 recent TKR cases were contacted via email and a standardized, Excel-based data collection form was sent to each surgical site.</w:t>
      </w:r>
      <w:r w:rsidR="00E5557C" w:rsidRPr="007E0475">
        <w:rPr>
          <w:rFonts w:ascii="Arial" w:hAnsi="Arial" w:cs="Arial"/>
          <w:sz w:val="24"/>
          <w:szCs w:val="24"/>
        </w:rPr>
        <w:t xml:space="preserve"> </w:t>
      </w:r>
      <w:r w:rsidR="00264592" w:rsidRPr="007E0475">
        <w:rPr>
          <w:rFonts w:ascii="Arial" w:hAnsi="Arial" w:cs="Arial"/>
          <w:sz w:val="24"/>
          <w:szCs w:val="24"/>
        </w:rPr>
        <w:t>D</w:t>
      </w:r>
      <w:r w:rsidR="00E24D76" w:rsidRPr="007E0475">
        <w:rPr>
          <w:rFonts w:ascii="Arial" w:hAnsi="Arial" w:cs="Arial"/>
          <w:sz w:val="24"/>
          <w:szCs w:val="24"/>
        </w:rPr>
        <w:t>emographic, operative and postoperative data were reviewed</w:t>
      </w:r>
      <w:r w:rsidR="002A7333" w:rsidRPr="007E0475">
        <w:rPr>
          <w:rFonts w:ascii="Arial" w:hAnsi="Arial" w:cs="Arial"/>
          <w:sz w:val="24"/>
          <w:szCs w:val="24"/>
        </w:rPr>
        <w:t>, including</w:t>
      </w:r>
      <w:r w:rsidR="007E0475" w:rsidRPr="007E0475">
        <w:rPr>
          <w:rFonts w:ascii="Arial" w:hAnsi="Arial" w:cs="Arial"/>
          <w:sz w:val="24"/>
          <w:szCs w:val="24"/>
        </w:rPr>
        <w:t xml:space="preserve"> </w:t>
      </w:r>
      <w:r w:rsidR="00E24D76" w:rsidRPr="007E0475">
        <w:rPr>
          <w:rFonts w:ascii="Arial" w:hAnsi="Arial" w:cs="Arial"/>
          <w:sz w:val="24"/>
          <w:szCs w:val="24"/>
        </w:rPr>
        <w:t>sex, age, breed, age at time of surgery, diagnosis at time of surgery (especially if complicated by confounding factors such as angular deformity or joint collapse), nature and number of prior surgical interventions on the affected stifle joint, type and size of implants used, surgical time, implant stability and alignment, incidence and nature of any intra</w:t>
      </w:r>
      <w:r w:rsidR="00EA47B7" w:rsidRPr="007E0475">
        <w:rPr>
          <w:rFonts w:ascii="Arial" w:hAnsi="Arial" w:cs="Arial"/>
          <w:sz w:val="24"/>
          <w:szCs w:val="24"/>
        </w:rPr>
        <w:t>- and post-</w:t>
      </w:r>
      <w:r w:rsidR="00E24D76" w:rsidRPr="007E0475">
        <w:rPr>
          <w:rFonts w:ascii="Arial" w:hAnsi="Arial" w:cs="Arial"/>
          <w:sz w:val="24"/>
          <w:szCs w:val="24"/>
        </w:rPr>
        <w:t>operative complications, clinical follow-up after surgery, incidence and nature of any intra</w:t>
      </w:r>
      <w:r w:rsidR="00EA47B7" w:rsidRPr="007E0475">
        <w:rPr>
          <w:rFonts w:ascii="Arial" w:hAnsi="Arial" w:cs="Arial"/>
          <w:sz w:val="24"/>
          <w:szCs w:val="24"/>
        </w:rPr>
        <w:t>- and post-</w:t>
      </w:r>
      <w:r w:rsidR="00E24D76" w:rsidRPr="007E0475">
        <w:rPr>
          <w:rFonts w:ascii="Arial" w:hAnsi="Arial" w:cs="Arial"/>
          <w:sz w:val="24"/>
          <w:szCs w:val="24"/>
        </w:rPr>
        <w:t>operative complications, along with a description of how they were managed, clinical outcome at most recent follow-up</w:t>
      </w:r>
      <w:r w:rsidR="00E24D76" w:rsidRPr="00D46AFF">
        <w:rPr>
          <w:rFonts w:ascii="Arial" w:hAnsi="Arial" w:cs="Arial"/>
          <w:sz w:val="24"/>
          <w:szCs w:val="24"/>
        </w:rPr>
        <w:t xml:space="preserve">. </w:t>
      </w:r>
      <w:r w:rsidR="00EA47B7" w:rsidRPr="007E0475">
        <w:rPr>
          <w:rFonts w:ascii="Arial" w:hAnsi="Arial" w:cs="Arial"/>
          <w:sz w:val="24"/>
          <w:szCs w:val="24"/>
        </w:rPr>
        <w:t xml:space="preserve">Major complications were defined as those that required further surgical intervention and minor complications were defined as those that either did not require </w:t>
      </w:r>
      <w:r w:rsidR="00962BAA" w:rsidRPr="007E0475">
        <w:rPr>
          <w:rFonts w:ascii="Arial" w:hAnsi="Arial" w:cs="Arial"/>
          <w:sz w:val="24"/>
          <w:szCs w:val="24"/>
        </w:rPr>
        <w:t>further action or were managed medically.</w:t>
      </w:r>
      <w:r w:rsidR="00962BAA" w:rsidRPr="00D46AFF">
        <w:rPr>
          <w:rFonts w:ascii="Arial" w:hAnsi="Arial" w:cs="Arial"/>
          <w:sz w:val="24"/>
          <w:szCs w:val="24"/>
        </w:rPr>
        <w:t xml:space="preserve"> </w:t>
      </w:r>
      <w:r w:rsidR="004D0308" w:rsidRPr="007E0475">
        <w:rPr>
          <w:rFonts w:ascii="Arial" w:hAnsi="Arial" w:cs="Arial"/>
          <w:sz w:val="24"/>
          <w:szCs w:val="24"/>
        </w:rPr>
        <w:t xml:space="preserve">Data </w:t>
      </w:r>
      <w:r w:rsidR="00264592" w:rsidRPr="007E0475">
        <w:rPr>
          <w:rFonts w:ascii="Arial" w:hAnsi="Arial" w:cs="Arial"/>
          <w:sz w:val="24"/>
          <w:szCs w:val="24"/>
        </w:rPr>
        <w:t xml:space="preserve">were evaluated for normality and summarized as either median values (with range) or as mean values with a standard deviation. </w:t>
      </w:r>
    </w:p>
    <w:p w14:paraId="6AC92ACD" w14:textId="44F3FC74" w:rsidR="00264592" w:rsidRPr="007E0475" w:rsidRDefault="00531CC2" w:rsidP="004C248A">
      <w:pPr>
        <w:pStyle w:val="NormalWeb"/>
        <w:rPr>
          <w:rFonts w:ascii="Arial" w:hAnsi="Arial" w:cs="Arial"/>
        </w:rPr>
      </w:pPr>
      <w:r w:rsidRPr="007E0475">
        <w:rPr>
          <w:rFonts w:ascii="Arial" w:hAnsi="Arial" w:cs="Arial"/>
          <w:b/>
          <w:bCs/>
        </w:rPr>
        <w:t>Results:</w:t>
      </w:r>
      <w:r w:rsidR="00F31763" w:rsidRPr="007E0475">
        <w:rPr>
          <w:rFonts w:ascii="Arial" w:hAnsi="Arial" w:cs="Arial"/>
        </w:rPr>
        <w:t xml:space="preserve"> </w:t>
      </w:r>
      <w:r w:rsidR="00971F39" w:rsidRPr="007E0475">
        <w:rPr>
          <w:rFonts w:ascii="Arial" w:hAnsi="Arial" w:cs="Arial"/>
        </w:rPr>
        <w:t xml:space="preserve">All contacted surgeons responded and contributed cases for analysis. </w:t>
      </w:r>
      <w:r w:rsidR="00D628E8" w:rsidRPr="007E0475">
        <w:rPr>
          <w:rFonts w:ascii="Arial" w:hAnsi="Arial" w:cs="Arial"/>
        </w:rPr>
        <w:t>A total of 6</w:t>
      </w:r>
      <w:r w:rsidR="002A7333" w:rsidRPr="007E0475">
        <w:rPr>
          <w:rFonts w:ascii="Arial" w:hAnsi="Arial" w:cs="Arial"/>
        </w:rPr>
        <w:t>7 TKR procedures in 6</w:t>
      </w:r>
      <w:r w:rsidR="00191486" w:rsidRPr="007E0475">
        <w:rPr>
          <w:rFonts w:ascii="Arial" w:hAnsi="Arial" w:cs="Arial"/>
        </w:rPr>
        <w:t xml:space="preserve">3 </w:t>
      </w:r>
      <w:r w:rsidR="002A7333" w:rsidRPr="007E0475">
        <w:rPr>
          <w:rFonts w:ascii="Arial" w:hAnsi="Arial" w:cs="Arial"/>
        </w:rPr>
        <w:t xml:space="preserve">dogs </w:t>
      </w:r>
      <w:r w:rsidR="00D628E8" w:rsidRPr="007E0475">
        <w:rPr>
          <w:rFonts w:ascii="Arial" w:hAnsi="Arial" w:cs="Arial"/>
        </w:rPr>
        <w:t xml:space="preserve">met the inclusion criteria. The study population included </w:t>
      </w:r>
      <w:r w:rsidR="0030259F" w:rsidRPr="007E0475">
        <w:rPr>
          <w:rFonts w:ascii="Arial" w:hAnsi="Arial" w:cs="Arial"/>
        </w:rPr>
        <w:t>Labrador Retrievers (10), German Shepherds (9), Boxers (6), Mixed Breeds (6), and 32 others representing</w:t>
      </w:r>
      <w:r w:rsidR="0030259F" w:rsidRPr="00D46AFF">
        <w:rPr>
          <w:rFonts w:ascii="Arial" w:hAnsi="Arial" w:cs="Arial"/>
        </w:rPr>
        <w:t xml:space="preserve"> </w:t>
      </w:r>
      <w:r w:rsidR="00D628E8" w:rsidRPr="007E0475">
        <w:rPr>
          <w:rFonts w:ascii="Arial" w:hAnsi="Arial" w:cs="Arial"/>
        </w:rPr>
        <w:t xml:space="preserve">other breeds. The median age at the time of surgery was 75 months (range: 11–165 months), and the median body weight was 33 kg (range: 1.5–61.5 kg). The cohort consisted of 28 spayed females, 19 neutered males, 15 intact females, and 1 intact male. In 39 cases, the left limb was operated on, followed by the right limb in 20 cases, and </w:t>
      </w:r>
      <w:r w:rsidR="002A7333" w:rsidRPr="007E0475">
        <w:rPr>
          <w:rFonts w:ascii="Arial" w:hAnsi="Arial" w:cs="Arial"/>
        </w:rPr>
        <w:t xml:space="preserve">staged </w:t>
      </w:r>
      <w:r w:rsidR="00D628E8" w:rsidRPr="007E0475">
        <w:rPr>
          <w:rFonts w:ascii="Arial" w:hAnsi="Arial" w:cs="Arial"/>
        </w:rPr>
        <w:t xml:space="preserve">bilateral </w:t>
      </w:r>
      <w:r w:rsidR="00D46AFF" w:rsidRPr="007E0475">
        <w:rPr>
          <w:rFonts w:ascii="Arial" w:hAnsi="Arial" w:cs="Arial"/>
        </w:rPr>
        <w:t>TKR was</w:t>
      </w:r>
      <w:r w:rsidR="00D628E8" w:rsidRPr="007E0475">
        <w:rPr>
          <w:rFonts w:ascii="Arial" w:hAnsi="Arial" w:cs="Arial"/>
        </w:rPr>
        <w:t xml:space="preserve"> performed in 4 cases. The most common indication for TKR was osteoarthritis (46), followed by osteochondritis dissecans (OCD; 8), infection (7), erosive arthritis (3), and fracture (2). Prior surgery had been performed in 46 dogs, while 26 had no surgical history. The median preoperative lameness score was 4 </w:t>
      </w:r>
      <w:r w:rsidR="002A7333" w:rsidRPr="007E0475">
        <w:rPr>
          <w:rFonts w:ascii="Arial" w:hAnsi="Arial" w:cs="Arial"/>
        </w:rPr>
        <w:t xml:space="preserve">out of 5 </w:t>
      </w:r>
      <w:r w:rsidR="00D628E8" w:rsidRPr="007E0475">
        <w:rPr>
          <w:rFonts w:ascii="Arial" w:hAnsi="Arial" w:cs="Arial"/>
        </w:rPr>
        <w:t>(range: 2–5).</w:t>
      </w:r>
    </w:p>
    <w:p w14:paraId="791A9F9C" w14:textId="70CAF4A0" w:rsidR="00264592" w:rsidRPr="007E0475" w:rsidRDefault="00D628E8" w:rsidP="004C248A">
      <w:pPr>
        <w:pStyle w:val="NormalWeb"/>
        <w:rPr>
          <w:rFonts w:ascii="Arial" w:hAnsi="Arial" w:cs="Arial"/>
        </w:rPr>
      </w:pPr>
      <w:r w:rsidRPr="007E0475">
        <w:rPr>
          <w:rFonts w:ascii="Arial" w:hAnsi="Arial" w:cs="Arial"/>
        </w:rPr>
        <w:lastRenderedPageBreak/>
        <w:t xml:space="preserve">The cementless </w:t>
      </w:r>
      <w:proofErr w:type="spellStart"/>
      <w:r w:rsidRPr="007E0475">
        <w:rPr>
          <w:rFonts w:ascii="Arial" w:hAnsi="Arial" w:cs="Arial"/>
        </w:rPr>
        <w:t>BioMedtrix</w:t>
      </w:r>
      <w:proofErr w:type="spellEnd"/>
      <w:r w:rsidRPr="007E0475">
        <w:rPr>
          <w:rFonts w:ascii="Arial" w:hAnsi="Arial" w:cs="Arial"/>
        </w:rPr>
        <w:t xml:space="preserve"> implant was used most frequently (40), followed by the hybrid </w:t>
      </w:r>
      <w:proofErr w:type="spellStart"/>
      <w:r w:rsidRPr="007E0475">
        <w:rPr>
          <w:rFonts w:ascii="Arial" w:hAnsi="Arial" w:cs="Arial"/>
        </w:rPr>
        <w:t>BioMedtrix</w:t>
      </w:r>
      <w:proofErr w:type="spellEnd"/>
      <w:r w:rsidRPr="007E0475">
        <w:rPr>
          <w:rFonts w:ascii="Arial" w:hAnsi="Arial" w:cs="Arial"/>
        </w:rPr>
        <w:t xml:space="preserve"> (18), custom hinge (5), and custom semi-constrained (4) implants. Intraoperative complications occurred in 11 cases, including lateral collateral ligament injury (3), bone recut (2), patellar ligament damage (2), difficult reduction (2), hemorrhage (1), and tibial fissure (1). Median anesthesia and surgery times were 300 minutes (range: 150–630) and 180 minutes (range: 90–465), respectively. </w:t>
      </w:r>
    </w:p>
    <w:p w14:paraId="497F9DC4" w14:textId="41E7EA77" w:rsidR="00D628E8" w:rsidRPr="007E0475" w:rsidRDefault="00D628E8" w:rsidP="004C248A">
      <w:pPr>
        <w:pStyle w:val="NormalWeb"/>
        <w:rPr>
          <w:rFonts w:ascii="Arial" w:hAnsi="Arial" w:cs="Arial"/>
        </w:rPr>
      </w:pPr>
      <w:r w:rsidRPr="007E0475">
        <w:rPr>
          <w:rFonts w:ascii="Arial" w:hAnsi="Arial" w:cs="Arial"/>
        </w:rPr>
        <w:t>Postoperative complications occurred in 16 cases, 14 of which were major and 2 minor. Major complications included medial or lateral collateral ligament rupture, patellar ligament rupture, lateral patellar luxation, and prosthesis luxation. Minor complications included surgical site infection, moderate to marked stifle swelling, incisional seroma, or patellar tendonitis. Owner satisfaction was reported as very satisfied (32), satisfied (2), slightly satisfied (5), neither satisfied nor dissatisfied (1), and dissatisfied (1). Functional outcomes were classified as good in 39 cases, acceptable in 9 cases, and poor in 2 cases.</w:t>
      </w:r>
    </w:p>
    <w:p w14:paraId="0B3B7C28" w14:textId="687D4FD0" w:rsidR="009F6004" w:rsidRPr="007E0475" w:rsidRDefault="009F6004" w:rsidP="004C248A">
      <w:pPr>
        <w:spacing w:line="240" w:lineRule="auto"/>
        <w:rPr>
          <w:rFonts w:ascii="Arial" w:hAnsi="Arial" w:cs="Arial"/>
          <w:color w:val="000000" w:themeColor="text1"/>
          <w:sz w:val="24"/>
          <w:szCs w:val="24"/>
        </w:rPr>
      </w:pPr>
      <w:r w:rsidRPr="007E0475">
        <w:rPr>
          <w:rFonts w:ascii="Arial" w:hAnsi="Arial" w:cs="Arial"/>
          <w:color w:val="000000" w:themeColor="text1"/>
          <w:sz w:val="24"/>
          <w:szCs w:val="24"/>
        </w:rPr>
        <w:t xml:space="preserve">Limitations include </w:t>
      </w:r>
      <w:r w:rsidR="002020BA" w:rsidRPr="007E0475">
        <w:rPr>
          <w:rFonts w:ascii="Arial" w:hAnsi="Arial" w:cs="Arial"/>
          <w:color w:val="000000" w:themeColor="text1"/>
          <w:sz w:val="24"/>
          <w:szCs w:val="24"/>
        </w:rPr>
        <w:t xml:space="preserve">the </w:t>
      </w:r>
      <w:r w:rsidRPr="007E0475">
        <w:rPr>
          <w:rFonts w:ascii="Arial" w:hAnsi="Arial" w:cs="Arial"/>
          <w:color w:val="000000" w:themeColor="text1"/>
          <w:sz w:val="24"/>
          <w:szCs w:val="24"/>
        </w:rPr>
        <w:t>retrospective nature of the study and</w:t>
      </w:r>
      <w:r w:rsidR="00264592" w:rsidRPr="007E0475">
        <w:rPr>
          <w:rFonts w:ascii="Arial" w:hAnsi="Arial" w:cs="Arial"/>
          <w:color w:val="000000" w:themeColor="text1"/>
          <w:sz w:val="24"/>
          <w:szCs w:val="24"/>
        </w:rPr>
        <w:t xml:space="preserve"> a </w:t>
      </w:r>
      <w:r w:rsidRPr="007E0475">
        <w:rPr>
          <w:rFonts w:ascii="Arial" w:hAnsi="Arial" w:cs="Arial"/>
          <w:color w:val="000000" w:themeColor="text1"/>
          <w:sz w:val="24"/>
          <w:szCs w:val="24"/>
        </w:rPr>
        <w:t>lack of standardization</w:t>
      </w:r>
      <w:r w:rsidR="00264592" w:rsidRPr="007E0475">
        <w:rPr>
          <w:rFonts w:ascii="Arial" w:hAnsi="Arial" w:cs="Arial"/>
          <w:color w:val="000000" w:themeColor="text1"/>
          <w:sz w:val="24"/>
          <w:szCs w:val="24"/>
        </w:rPr>
        <w:t xml:space="preserve"> in data collection and reporting. </w:t>
      </w:r>
    </w:p>
    <w:p w14:paraId="2638CF72" w14:textId="4DE0E5CD" w:rsidR="00264592" w:rsidRPr="00D46AFF" w:rsidRDefault="00531CC2" w:rsidP="004C248A">
      <w:pPr>
        <w:spacing w:line="240" w:lineRule="auto"/>
        <w:jc w:val="both"/>
        <w:rPr>
          <w:rFonts w:ascii="Arial" w:hAnsi="Arial" w:cs="Arial"/>
          <w:sz w:val="24"/>
          <w:szCs w:val="24"/>
        </w:rPr>
      </w:pPr>
      <w:r w:rsidRPr="007E0475">
        <w:rPr>
          <w:rFonts w:ascii="Arial" w:hAnsi="Arial" w:cs="Arial"/>
          <w:b/>
          <w:bCs/>
          <w:sz w:val="24"/>
          <w:szCs w:val="24"/>
        </w:rPr>
        <w:t>Conclusion:</w:t>
      </w:r>
      <w:r w:rsidR="00F31763" w:rsidRPr="007E0475">
        <w:rPr>
          <w:rFonts w:ascii="Arial" w:hAnsi="Arial" w:cs="Arial"/>
          <w:sz w:val="24"/>
          <w:szCs w:val="24"/>
        </w:rPr>
        <w:t xml:space="preserve"> </w:t>
      </w:r>
      <w:r w:rsidR="007E0475" w:rsidRPr="007E0475">
        <w:rPr>
          <w:rFonts w:ascii="Arial" w:hAnsi="Arial" w:cs="Arial"/>
          <w:sz w:val="24"/>
          <w:szCs w:val="24"/>
        </w:rPr>
        <w:t xml:space="preserve">TKR </w:t>
      </w:r>
      <w:r w:rsidR="00353E65" w:rsidRPr="007E0475">
        <w:rPr>
          <w:rFonts w:ascii="Arial" w:hAnsi="Arial" w:cs="Arial"/>
          <w:sz w:val="24"/>
          <w:szCs w:val="24"/>
        </w:rPr>
        <w:t>provide</w:t>
      </w:r>
      <w:r w:rsidR="007E0475" w:rsidRPr="007E0475">
        <w:rPr>
          <w:rFonts w:ascii="Arial" w:hAnsi="Arial" w:cs="Arial"/>
          <w:sz w:val="24"/>
          <w:szCs w:val="24"/>
        </w:rPr>
        <w:t>s</w:t>
      </w:r>
      <w:r w:rsidR="00E02600" w:rsidRPr="007E0475">
        <w:rPr>
          <w:rFonts w:ascii="Arial" w:hAnsi="Arial" w:cs="Arial"/>
          <w:sz w:val="24"/>
          <w:szCs w:val="24"/>
        </w:rPr>
        <w:t xml:space="preserve"> good to acceptable clinical outcomes in over 80% </w:t>
      </w:r>
      <w:r w:rsidR="00264592" w:rsidRPr="007E0475">
        <w:rPr>
          <w:rFonts w:ascii="Arial" w:hAnsi="Arial" w:cs="Arial"/>
          <w:sz w:val="24"/>
          <w:szCs w:val="24"/>
        </w:rPr>
        <w:t xml:space="preserve">of </w:t>
      </w:r>
      <w:r w:rsidR="00E02600" w:rsidRPr="007E0475">
        <w:rPr>
          <w:rFonts w:ascii="Arial" w:hAnsi="Arial" w:cs="Arial"/>
          <w:sz w:val="24"/>
          <w:szCs w:val="24"/>
        </w:rPr>
        <w:t xml:space="preserve">cases. </w:t>
      </w:r>
      <w:r w:rsidR="00353E65" w:rsidRPr="007E0475">
        <w:rPr>
          <w:rFonts w:ascii="Arial" w:hAnsi="Arial" w:cs="Arial"/>
          <w:sz w:val="24"/>
          <w:szCs w:val="24"/>
        </w:rPr>
        <w:t>While</w:t>
      </w:r>
      <w:r w:rsidR="00E02600" w:rsidRPr="007E0475">
        <w:rPr>
          <w:rFonts w:ascii="Arial" w:hAnsi="Arial" w:cs="Arial"/>
          <w:sz w:val="24"/>
          <w:szCs w:val="24"/>
        </w:rPr>
        <w:t xml:space="preserve"> prior surgical intervention on the affected joint significantly increased the</w:t>
      </w:r>
      <w:r w:rsidR="00353E65" w:rsidRPr="007E0475">
        <w:rPr>
          <w:rFonts w:ascii="Arial" w:hAnsi="Arial" w:cs="Arial"/>
          <w:sz w:val="24"/>
          <w:szCs w:val="24"/>
        </w:rPr>
        <w:t xml:space="preserve"> risk of complications (33% vs. 7% in na</w:t>
      </w:r>
      <w:r w:rsidR="00191486" w:rsidRPr="007E0475">
        <w:rPr>
          <w:rFonts w:ascii="Arial" w:hAnsi="Arial" w:cs="Arial"/>
          <w:sz w:val="24"/>
          <w:szCs w:val="24"/>
        </w:rPr>
        <w:t>i</w:t>
      </w:r>
      <w:r w:rsidR="00353E65" w:rsidRPr="007E0475">
        <w:rPr>
          <w:rFonts w:ascii="Arial" w:hAnsi="Arial" w:cs="Arial"/>
          <w:sz w:val="24"/>
          <w:szCs w:val="24"/>
        </w:rPr>
        <w:t>ve joints), a</w:t>
      </w:r>
      <w:r w:rsidR="00E02600" w:rsidRPr="007E0475">
        <w:rPr>
          <w:rFonts w:ascii="Arial" w:hAnsi="Arial" w:cs="Arial"/>
          <w:sz w:val="24"/>
          <w:szCs w:val="24"/>
        </w:rPr>
        <w:t xml:space="preserve"> history of resolved infection does not contraindicate surgery </w:t>
      </w:r>
      <w:r w:rsidR="007E0475" w:rsidRPr="007E0475">
        <w:rPr>
          <w:rFonts w:ascii="Arial" w:hAnsi="Arial" w:cs="Arial"/>
          <w:sz w:val="24"/>
          <w:szCs w:val="24"/>
        </w:rPr>
        <w:t xml:space="preserve">if </w:t>
      </w:r>
      <w:r w:rsidR="00353E65" w:rsidRPr="007E0475">
        <w:rPr>
          <w:rFonts w:ascii="Arial" w:hAnsi="Arial" w:cs="Arial"/>
          <w:sz w:val="24"/>
          <w:szCs w:val="24"/>
        </w:rPr>
        <w:t>preoperative cultures are negative. Although</w:t>
      </w:r>
      <w:r w:rsidR="00E02600" w:rsidRPr="007E0475">
        <w:rPr>
          <w:rFonts w:ascii="Arial" w:hAnsi="Arial" w:cs="Arial"/>
          <w:sz w:val="24"/>
          <w:szCs w:val="24"/>
        </w:rPr>
        <w:t xml:space="preserve"> major complications were reported in</w:t>
      </w:r>
      <w:r w:rsidR="00353E65" w:rsidRPr="007E0475">
        <w:rPr>
          <w:rFonts w:ascii="Arial" w:hAnsi="Arial" w:cs="Arial"/>
          <w:sz w:val="24"/>
          <w:szCs w:val="24"/>
        </w:rPr>
        <w:t xml:space="preserve"> approximately</w:t>
      </w:r>
      <w:r w:rsidR="00E02600" w:rsidRPr="007E0475">
        <w:rPr>
          <w:rFonts w:ascii="Arial" w:hAnsi="Arial" w:cs="Arial"/>
          <w:sz w:val="24"/>
          <w:szCs w:val="24"/>
        </w:rPr>
        <w:t xml:space="preserve"> 30% of cases, </w:t>
      </w:r>
      <w:r w:rsidR="00353E65" w:rsidRPr="007E0475">
        <w:rPr>
          <w:rFonts w:ascii="Arial" w:hAnsi="Arial" w:cs="Arial"/>
          <w:sz w:val="24"/>
          <w:szCs w:val="24"/>
        </w:rPr>
        <w:t xml:space="preserve">most </w:t>
      </w:r>
      <w:r w:rsidR="00E02600" w:rsidRPr="007E0475">
        <w:rPr>
          <w:rFonts w:ascii="Arial" w:hAnsi="Arial" w:cs="Arial"/>
          <w:sz w:val="24"/>
          <w:szCs w:val="24"/>
        </w:rPr>
        <w:t>were</w:t>
      </w:r>
      <w:r w:rsidR="00353E65" w:rsidRPr="007E0475">
        <w:rPr>
          <w:rFonts w:ascii="Arial" w:hAnsi="Arial" w:cs="Arial"/>
          <w:sz w:val="24"/>
          <w:szCs w:val="24"/>
        </w:rPr>
        <w:t xml:space="preserve"> successfully managed, resulting in</w:t>
      </w:r>
      <w:r w:rsidR="00E02600" w:rsidRPr="007E0475">
        <w:rPr>
          <w:rFonts w:ascii="Arial" w:hAnsi="Arial" w:cs="Arial"/>
          <w:sz w:val="24"/>
          <w:szCs w:val="24"/>
        </w:rPr>
        <w:t xml:space="preserve"> functional recovery and high owner satisfaction.</w:t>
      </w:r>
      <w:r w:rsidR="00353E65" w:rsidRPr="007E0475">
        <w:rPr>
          <w:rFonts w:ascii="Arial" w:hAnsi="Arial" w:cs="Arial"/>
          <w:sz w:val="24"/>
          <w:szCs w:val="24"/>
        </w:rPr>
        <w:t xml:space="preserve"> The most frequent serious complications include</w:t>
      </w:r>
      <w:r w:rsidR="00E02600" w:rsidRPr="007E0475">
        <w:rPr>
          <w:rFonts w:ascii="Arial" w:hAnsi="Arial" w:cs="Arial"/>
          <w:sz w:val="24"/>
          <w:szCs w:val="24"/>
        </w:rPr>
        <w:t>d ligament damage and postoperative infection, whereas aseptic loosening was rarely reported.</w:t>
      </w:r>
      <w:r w:rsidR="008C5B20" w:rsidRPr="007E0475">
        <w:rPr>
          <w:rFonts w:ascii="Arial" w:hAnsi="Arial" w:cs="Arial"/>
          <w:sz w:val="24"/>
          <w:szCs w:val="24"/>
        </w:rPr>
        <w:t xml:space="preserve"> Overall, </w:t>
      </w:r>
      <w:r w:rsidR="00D46AFF" w:rsidRPr="007E0475">
        <w:rPr>
          <w:rFonts w:ascii="Arial" w:hAnsi="Arial" w:cs="Arial"/>
          <w:sz w:val="24"/>
          <w:szCs w:val="24"/>
        </w:rPr>
        <w:t>TKR represents</w:t>
      </w:r>
      <w:r w:rsidR="008C5B20" w:rsidRPr="007E0475">
        <w:rPr>
          <w:rFonts w:ascii="Arial" w:hAnsi="Arial" w:cs="Arial"/>
          <w:sz w:val="24"/>
          <w:szCs w:val="24"/>
        </w:rPr>
        <w:t xml:space="preserve"> a safe, effective and viable surgical option with manageable complication risks for patients with end-stage stifle disease</w:t>
      </w:r>
      <w:r w:rsidR="00445982" w:rsidRPr="007E0475">
        <w:rPr>
          <w:rFonts w:ascii="Arial" w:hAnsi="Arial" w:cs="Arial"/>
          <w:sz w:val="24"/>
          <w:szCs w:val="24"/>
        </w:rPr>
        <w:t xml:space="preserve">. Our </w:t>
      </w:r>
      <w:r w:rsidR="007C2610" w:rsidRPr="007E0475">
        <w:rPr>
          <w:rFonts w:ascii="Arial" w:hAnsi="Arial" w:cs="Arial"/>
          <w:sz w:val="24"/>
          <w:szCs w:val="24"/>
        </w:rPr>
        <w:t>study</w:t>
      </w:r>
      <w:r w:rsidR="00445982" w:rsidRPr="007E0475">
        <w:rPr>
          <w:rFonts w:ascii="Arial" w:hAnsi="Arial" w:cs="Arial"/>
          <w:sz w:val="24"/>
          <w:szCs w:val="24"/>
        </w:rPr>
        <w:t xml:space="preserve"> support</w:t>
      </w:r>
      <w:r w:rsidR="00D67EE6" w:rsidRPr="007E0475">
        <w:rPr>
          <w:rFonts w:ascii="Arial" w:hAnsi="Arial" w:cs="Arial"/>
          <w:sz w:val="24"/>
          <w:szCs w:val="24"/>
        </w:rPr>
        <w:t>s</w:t>
      </w:r>
      <w:r w:rsidR="007C2610" w:rsidRPr="007E0475">
        <w:rPr>
          <w:rFonts w:ascii="Arial" w:hAnsi="Arial" w:cs="Arial"/>
          <w:sz w:val="24"/>
          <w:szCs w:val="24"/>
        </w:rPr>
        <w:t xml:space="preserve"> the consideration of</w:t>
      </w:r>
      <w:r w:rsidR="00445982" w:rsidRPr="007E0475">
        <w:rPr>
          <w:rFonts w:ascii="Arial" w:hAnsi="Arial" w:cs="Arial"/>
          <w:sz w:val="24"/>
          <w:szCs w:val="24"/>
        </w:rPr>
        <w:t xml:space="preserve"> earlier application of TKR </w:t>
      </w:r>
      <w:r w:rsidR="007C2610" w:rsidRPr="007E0475">
        <w:rPr>
          <w:rFonts w:ascii="Arial" w:hAnsi="Arial" w:cs="Arial"/>
          <w:sz w:val="24"/>
          <w:szCs w:val="24"/>
        </w:rPr>
        <w:t>in</w:t>
      </w:r>
      <w:r w:rsidR="00445982" w:rsidRPr="007E0475">
        <w:rPr>
          <w:rFonts w:ascii="Arial" w:hAnsi="Arial" w:cs="Arial"/>
          <w:sz w:val="24"/>
          <w:szCs w:val="24"/>
        </w:rPr>
        <w:t xml:space="preserve"> dogs </w:t>
      </w:r>
      <w:r w:rsidR="007C2610" w:rsidRPr="007E0475">
        <w:rPr>
          <w:rFonts w:ascii="Arial" w:hAnsi="Arial" w:cs="Arial"/>
          <w:sz w:val="24"/>
          <w:szCs w:val="24"/>
        </w:rPr>
        <w:t>with advanced stifle joint pathology.</w:t>
      </w:r>
    </w:p>
    <w:p w14:paraId="7937344B" w14:textId="77777777" w:rsidR="00110866" w:rsidRPr="00353E65" w:rsidRDefault="00531CC2" w:rsidP="004C248A">
      <w:pPr>
        <w:spacing w:line="240" w:lineRule="auto"/>
        <w:jc w:val="both"/>
        <w:rPr>
          <w:rFonts w:ascii="Calibri" w:hAnsi="Calibri" w:cs="Calibri"/>
          <w:sz w:val="24"/>
          <w:szCs w:val="24"/>
        </w:rPr>
      </w:pPr>
      <w:r w:rsidRPr="00353E65">
        <w:rPr>
          <w:rFonts w:ascii="Arial" w:hAnsi="Arial" w:cs="Arial"/>
          <w:b/>
          <w:bCs/>
          <w:sz w:val="24"/>
          <w:szCs w:val="24"/>
        </w:rPr>
        <w:t>References:</w:t>
      </w:r>
      <w:r w:rsidR="00F31763" w:rsidRPr="00353E65">
        <w:rPr>
          <w:rFonts w:ascii="Arial" w:hAnsi="Arial" w:cs="Arial"/>
          <w:sz w:val="24"/>
          <w:szCs w:val="24"/>
        </w:rPr>
        <w:t xml:space="preserve"> </w:t>
      </w:r>
    </w:p>
    <w:p w14:paraId="647FB781" w14:textId="6DC0B174" w:rsidR="00613146" w:rsidRPr="00D46AFF" w:rsidRDefault="00613146" w:rsidP="004C248A">
      <w:pPr>
        <w:pStyle w:val="ListParagraph"/>
        <w:numPr>
          <w:ilvl w:val="0"/>
          <w:numId w:val="1"/>
        </w:numPr>
        <w:spacing w:after="0" w:line="240" w:lineRule="auto"/>
        <w:rPr>
          <w:rFonts w:ascii="Arial" w:eastAsia="Times New Roman" w:hAnsi="Arial" w:cs="Arial"/>
        </w:rPr>
      </w:pPr>
      <w:r w:rsidRPr="00137EA0">
        <w:rPr>
          <w:rFonts w:ascii="Arial" w:hAnsi="Arial" w:cs="Arial"/>
        </w:rPr>
        <w:t xml:space="preserve">Liska WD, Doyle ND. Canine total knee replacement: surgical technique and one-year outcome. </w:t>
      </w:r>
      <w:r w:rsidRPr="00137EA0">
        <w:rPr>
          <w:rFonts w:ascii="Arial" w:hAnsi="Arial" w:cs="Arial"/>
          <w:i/>
          <w:iCs/>
        </w:rPr>
        <w:t>Vet Surg</w:t>
      </w:r>
      <w:r w:rsidRPr="00137EA0">
        <w:rPr>
          <w:rFonts w:ascii="Arial" w:hAnsi="Arial" w:cs="Arial"/>
        </w:rPr>
        <w:t>. 2009; 38:568-582.</w:t>
      </w:r>
    </w:p>
    <w:p w14:paraId="2CDEE680" w14:textId="03D3F906" w:rsidR="002A7333" w:rsidRPr="002A7333" w:rsidRDefault="002A7333" w:rsidP="004C248A">
      <w:pPr>
        <w:pStyle w:val="ListParagraph"/>
        <w:numPr>
          <w:ilvl w:val="0"/>
          <w:numId w:val="1"/>
        </w:numPr>
        <w:spacing w:after="0" w:line="240" w:lineRule="auto"/>
        <w:rPr>
          <w:rFonts w:ascii="Arial" w:eastAsia="Times New Roman" w:hAnsi="Arial" w:cs="Arial"/>
        </w:rPr>
      </w:pPr>
      <w:r w:rsidRPr="002A7333">
        <w:rPr>
          <w:rFonts w:ascii="Arial" w:eastAsia="Times New Roman" w:hAnsi="Arial" w:cs="Arial"/>
        </w:rPr>
        <w:t>Fink BR, Guiot LP and Muir P. Total knee replacement in a dog with an articular epiphyseal medial condylar fracture of the distal femur, a case report. Vet Res Commun. 2025;49(3):142.</w:t>
      </w:r>
    </w:p>
    <w:p w14:paraId="190BDA85" w14:textId="2360AAF2" w:rsidR="006D218D" w:rsidRPr="006D218D" w:rsidRDefault="006D218D" w:rsidP="004C248A">
      <w:pPr>
        <w:pStyle w:val="ListParagraph"/>
        <w:numPr>
          <w:ilvl w:val="0"/>
          <w:numId w:val="1"/>
        </w:numPr>
        <w:spacing w:after="0" w:line="240" w:lineRule="auto"/>
        <w:ind w:left="357" w:hanging="357"/>
        <w:rPr>
          <w:rFonts w:ascii="Arial" w:eastAsia="Times New Roman" w:hAnsi="Arial" w:cs="Arial"/>
          <w:color w:val="000000" w:themeColor="text1"/>
        </w:rPr>
      </w:pPr>
      <w:proofErr w:type="spellStart"/>
      <w:r w:rsidRPr="006D218D">
        <w:rPr>
          <w:rFonts w:ascii="Arial" w:hAnsi="Arial" w:cs="Arial"/>
          <w:color w:val="000000" w:themeColor="text1"/>
          <w:shd w:val="clear" w:color="auto" w:fill="FFFFFF"/>
        </w:rPr>
        <w:t>Fracka</w:t>
      </w:r>
      <w:proofErr w:type="spellEnd"/>
      <w:r w:rsidRPr="006D218D">
        <w:rPr>
          <w:rFonts w:ascii="Arial" w:hAnsi="Arial" w:cs="Arial"/>
          <w:color w:val="000000" w:themeColor="text1"/>
          <w:shd w:val="clear" w:color="auto" w:fill="FFFFFF"/>
        </w:rPr>
        <w:t xml:space="preserve"> AB, Allen MJ, Dejardin LM. Long-term clinical outcomes and retrieval analysis of a cementless total knee replacement in a dog. Vet Surg. 2025;54(3):621-631.</w:t>
      </w:r>
    </w:p>
    <w:p w14:paraId="5444BDF2" w14:textId="77777777" w:rsidR="006D218D" w:rsidRPr="006D218D" w:rsidRDefault="006D218D" w:rsidP="004C248A">
      <w:pPr>
        <w:pStyle w:val="ListParagraph"/>
        <w:spacing w:after="0" w:line="240" w:lineRule="auto"/>
        <w:ind w:left="360"/>
        <w:rPr>
          <w:rFonts w:ascii="Arial" w:eastAsia="Times New Roman" w:hAnsi="Arial" w:cs="Arial"/>
          <w:color w:val="000000" w:themeColor="text1"/>
        </w:rPr>
      </w:pPr>
    </w:p>
    <w:p w14:paraId="6E7098C6" w14:textId="66175DC5" w:rsidR="005544FD" w:rsidRPr="00D46AFF" w:rsidRDefault="00531CC2" w:rsidP="004C248A">
      <w:pPr>
        <w:spacing w:after="0" w:line="240" w:lineRule="auto"/>
        <w:rPr>
          <w:rFonts w:ascii="Arial" w:hAnsi="Arial" w:cs="Arial"/>
          <w:sz w:val="24"/>
          <w:szCs w:val="24"/>
        </w:rPr>
      </w:pPr>
      <w:r w:rsidRPr="00D46AFF">
        <w:rPr>
          <w:rFonts w:ascii="Arial" w:eastAsia="Times New Roman" w:hAnsi="Arial" w:cs="Arial"/>
          <w:b/>
          <w:bCs/>
          <w:sz w:val="24"/>
          <w:szCs w:val="24"/>
        </w:rPr>
        <w:t>Acknowledgments:</w:t>
      </w:r>
      <w:r w:rsidR="00B71961" w:rsidRPr="00D46AFF">
        <w:rPr>
          <w:rFonts w:ascii="Arial" w:eastAsia="Times New Roman" w:hAnsi="Arial" w:cs="Arial"/>
          <w:sz w:val="24"/>
          <w:szCs w:val="24"/>
        </w:rPr>
        <w:t xml:space="preserve"> </w:t>
      </w:r>
      <w:r w:rsidR="00D46AFF">
        <w:rPr>
          <w:rFonts w:ascii="Arial" w:eastAsia="Times New Roman" w:hAnsi="Arial" w:cs="Arial"/>
          <w:sz w:val="24"/>
          <w:szCs w:val="24"/>
        </w:rPr>
        <w:t>One of the authors receives consulting fees from Movora</w:t>
      </w:r>
    </w:p>
    <w:p w14:paraId="65947474" w14:textId="70A1CF26" w:rsidR="00B71961" w:rsidRPr="004B7F9B" w:rsidRDefault="00B71961" w:rsidP="004C248A">
      <w:pPr>
        <w:spacing w:line="240" w:lineRule="auto"/>
        <w:rPr>
          <w:rFonts w:ascii="Arial" w:hAnsi="Arial" w:cs="Arial"/>
          <w:sz w:val="24"/>
          <w:szCs w:val="24"/>
        </w:rPr>
      </w:pP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4528"/>
    <w:multiLevelType w:val="hybridMultilevel"/>
    <w:tmpl w:val="C742B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3143C2B"/>
    <w:multiLevelType w:val="hybridMultilevel"/>
    <w:tmpl w:val="AC2A5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CB451E"/>
    <w:multiLevelType w:val="hybridMultilevel"/>
    <w:tmpl w:val="BAE6A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334361">
    <w:abstractNumId w:val="0"/>
  </w:num>
  <w:num w:numId="2" w16cid:durableId="60491138">
    <w:abstractNumId w:val="2"/>
  </w:num>
  <w:num w:numId="3" w16cid:durableId="35527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5639A"/>
    <w:rsid w:val="00061FA9"/>
    <w:rsid w:val="000D48D4"/>
    <w:rsid w:val="00101F1B"/>
    <w:rsid w:val="00110866"/>
    <w:rsid w:val="00191486"/>
    <w:rsid w:val="001A2AE7"/>
    <w:rsid w:val="002009DF"/>
    <w:rsid w:val="002020BA"/>
    <w:rsid w:val="002045EA"/>
    <w:rsid w:val="00236B09"/>
    <w:rsid w:val="00264592"/>
    <w:rsid w:val="002A7333"/>
    <w:rsid w:val="002F79D8"/>
    <w:rsid w:val="0030259F"/>
    <w:rsid w:val="00345CB1"/>
    <w:rsid w:val="00353E65"/>
    <w:rsid w:val="003919DE"/>
    <w:rsid w:val="003E2DDD"/>
    <w:rsid w:val="00445982"/>
    <w:rsid w:val="00456E73"/>
    <w:rsid w:val="00470E55"/>
    <w:rsid w:val="004735D6"/>
    <w:rsid w:val="004751A3"/>
    <w:rsid w:val="004B7F9B"/>
    <w:rsid w:val="004C248A"/>
    <w:rsid w:val="004D0308"/>
    <w:rsid w:val="00502733"/>
    <w:rsid w:val="00531CC2"/>
    <w:rsid w:val="005544FD"/>
    <w:rsid w:val="005F41B2"/>
    <w:rsid w:val="00613146"/>
    <w:rsid w:val="00623AEF"/>
    <w:rsid w:val="006D218D"/>
    <w:rsid w:val="007C2610"/>
    <w:rsid w:val="007D6D81"/>
    <w:rsid w:val="007E0475"/>
    <w:rsid w:val="007F06F9"/>
    <w:rsid w:val="008573D7"/>
    <w:rsid w:val="008C5B20"/>
    <w:rsid w:val="0094540E"/>
    <w:rsid w:val="00962BAA"/>
    <w:rsid w:val="00971F39"/>
    <w:rsid w:val="009855E0"/>
    <w:rsid w:val="00997E6D"/>
    <w:rsid w:val="009E4054"/>
    <w:rsid w:val="009F6004"/>
    <w:rsid w:val="00AC2FF1"/>
    <w:rsid w:val="00B47149"/>
    <w:rsid w:val="00B71961"/>
    <w:rsid w:val="00BC0FB2"/>
    <w:rsid w:val="00CF72F7"/>
    <w:rsid w:val="00D46AFF"/>
    <w:rsid w:val="00D628E8"/>
    <w:rsid w:val="00D67EE6"/>
    <w:rsid w:val="00DD0524"/>
    <w:rsid w:val="00DD13B0"/>
    <w:rsid w:val="00E02600"/>
    <w:rsid w:val="00E24D76"/>
    <w:rsid w:val="00E5557C"/>
    <w:rsid w:val="00EA47B7"/>
    <w:rsid w:val="00F1275B"/>
    <w:rsid w:val="00F250D2"/>
    <w:rsid w:val="00F31603"/>
    <w:rsid w:val="00F31763"/>
    <w:rsid w:val="00F326B7"/>
    <w:rsid w:val="00F46184"/>
    <w:rsid w:val="00FF1EA4"/>
    <w:rsid w:val="00FF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NormalWeb">
    <w:name w:val="Normal (Web)"/>
    <w:basedOn w:val="Normal"/>
    <w:uiPriority w:val="99"/>
    <w:unhideWhenUsed/>
    <w:rsid w:val="007D6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D81"/>
    <w:rPr>
      <w:b/>
      <w:bCs/>
    </w:rPr>
  </w:style>
  <w:style w:type="paragraph" w:styleId="ListParagraph">
    <w:name w:val="List Paragraph"/>
    <w:basedOn w:val="Normal"/>
    <w:uiPriority w:val="34"/>
    <w:qFormat/>
    <w:rsid w:val="00110866"/>
    <w:pPr>
      <w:spacing w:line="278" w:lineRule="auto"/>
      <w:ind w:left="720"/>
      <w:contextualSpacing/>
    </w:pPr>
    <w:rPr>
      <w:kern w:val="2"/>
      <w:sz w:val="24"/>
      <w:szCs w:val="24"/>
      <w:lang w:val="en-GB"/>
      <w14:ligatures w14:val="standardContextual"/>
    </w:rPr>
  </w:style>
  <w:style w:type="paragraph" w:styleId="Revision">
    <w:name w:val="Revision"/>
    <w:hidden/>
    <w:uiPriority w:val="99"/>
    <w:semiHidden/>
    <w:rsid w:val="00264592"/>
    <w:pPr>
      <w:spacing w:after="0" w:line="240" w:lineRule="auto"/>
    </w:pPr>
  </w:style>
  <w:style w:type="character" w:styleId="Hyperlink">
    <w:name w:val="Hyperlink"/>
    <w:basedOn w:val="DefaultParagraphFont"/>
    <w:uiPriority w:val="99"/>
    <w:unhideWhenUsed/>
    <w:rsid w:val="002A7333"/>
    <w:rPr>
      <w:color w:val="0563C1" w:themeColor="hyperlink"/>
      <w:u w:val="single"/>
    </w:rPr>
  </w:style>
  <w:style w:type="character" w:styleId="UnresolvedMention">
    <w:name w:val="Unresolved Mention"/>
    <w:basedOn w:val="DefaultParagraphFont"/>
    <w:uiPriority w:val="99"/>
    <w:semiHidden/>
    <w:unhideWhenUsed/>
    <w:rsid w:val="002A7333"/>
    <w:rPr>
      <w:color w:val="605E5C"/>
      <w:shd w:val="clear" w:color="auto" w:fill="E1DFDD"/>
    </w:rPr>
  </w:style>
  <w:style w:type="character" w:customStyle="1" w:styleId="word">
    <w:name w:val="word"/>
    <w:basedOn w:val="DefaultParagraphFont"/>
    <w:rsid w:val="00F4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010485">
      <w:bodyDiv w:val="1"/>
      <w:marLeft w:val="0"/>
      <w:marRight w:val="0"/>
      <w:marTop w:val="0"/>
      <w:marBottom w:val="0"/>
      <w:divBdr>
        <w:top w:val="none" w:sz="0" w:space="0" w:color="auto"/>
        <w:left w:val="none" w:sz="0" w:space="0" w:color="auto"/>
        <w:bottom w:val="none" w:sz="0" w:space="0" w:color="auto"/>
        <w:right w:val="none" w:sz="0" w:space="0" w:color="auto"/>
      </w:divBdr>
    </w:div>
    <w:div w:id="1071270820">
      <w:bodyDiv w:val="1"/>
      <w:marLeft w:val="0"/>
      <w:marRight w:val="0"/>
      <w:marTop w:val="0"/>
      <w:marBottom w:val="0"/>
      <w:divBdr>
        <w:top w:val="none" w:sz="0" w:space="0" w:color="auto"/>
        <w:left w:val="none" w:sz="0" w:space="0" w:color="auto"/>
        <w:bottom w:val="none" w:sz="0" w:space="0" w:color="auto"/>
        <w:right w:val="none" w:sz="0" w:space="0" w:color="auto"/>
      </w:divBdr>
    </w:div>
    <w:div w:id="19630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Fracka, Agnieszka</cp:lastModifiedBy>
  <cp:revision>7</cp:revision>
  <dcterms:created xsi:type="dcterms:W3CDTF">2025-11-01T00:42:00Z</dcterms:created>
  <dcterms:modified xsi:type="dcterms:W3CDTF">2025-11-01T01:30:00Z</dcterms:modified>
</cp:coreProperties>
</file>