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378E" w14:textId="023C4C55" w:rsidR="00D67B5B" w:rsidRPr="00AB2939" w:rsidRDefault="00F40D9B" w:rsidP="00D67B5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Synovial and Systemic </w:t>
      </w:r>
      <w:r w:rsidR="00D67B5B" w:rsidRPr="00AB2939">
        <w:rPr>
          <w:rFonts w:ascii="Times New Roman" w:eastAsia="Times New Roman" w:hAnsi="Times New Roman" w:cs="Times New Roman"/>
          <w:b/>
          <w:bCs/>
          <w:sz w:val="24"/>
          <w:szCs w:val="24"/>
        </w:rPr>
        <w:t>Pharmacokinetic</w:t>
      </w:r>
      <w:r w:rsidR="000003C1" w:rsidRPr="00AB2939">
        <w:rPr>
          <w:rFonts w:ascii="Times New Roman" w:eastAsia="Times New Roman" w:hAnsi="Times New Roman" w:cs="Times New Roman"/>
          <w:b/>
          <w:bCs/>
          <w:sz w:val="24"/>
          <w:szCs w:val="24"/>
        </w:rPr>
        <w:t xml:space="preserve"> Analysis of </w:t>
      </w:r>
      <w:r w:rsidR="00F13E8B" w:rsidRPr="00AB2939">
        <w:rPr>
          <w:rFonts w:ascii="Times New Roman" w:eastAsia="Times New Roman" w:hAnsi="Times New Roman" w:cs="Times New Roman"/>
          <w:b/>
          <w:bCs/>
          <w:sz w:val="24"/>
          <w:szCs w:val="24"/>
        </w:rPr>
        <w:t>M</w:t>
      </w:r>
      <w:r w:rsidR="00D67B5B" w:rsidRPr="00AB2939">
        <w:rPr>
          <w:rFonts w:ascii="Times New Roman" w:eastAsia="Times New Roman" w:hAnsi="Times New Roman" w:cs="Times New Roman"/>
          <w:b/>
          <w:bCs/>
          <w:sz w:val="24"/>
          <w:szCs w:val="24"/>
        </w:rPr>
        <w:t xml:space="preserve">ultidose </w:t>
      </w:r>
      <w:r w:rsidR="00F13E8B" w:rsidRPr="00AB2939">
        <w:rPr>
          <w:rFonts w:ascii="Times New Roman" w:eastAsia="Times New Roman" w:hAnsi="Times New Roman" w:cs="Times New Roman"/>
          <w:b/>
          <w:bCs/>
          <w:sz w:val="24"/>
          <w:szCs w:val="24"/>
        </w:rPr>
        <w:t>O</w:t>
      </w:r>
      <w:r w:rsidR="00D67B5B" w:rsidRPr="00AB2939">
        <w:rPr>
          <w:rFonts w:ascii="Times New Roman" w:eastAsia="Times New Roman" w:hAnsi="Times New Roman" w:cs="Times New Roman"/>
          <w:b/>
          <w:bCs/>
          <w:sz w:val="24"/>
          <w:szCs w:val="24"/>
        </w:rPr>
        <w:t xml:space="preserve">ral </w:t>
      </w:r>
      <w:r w:rsidR="00F13E8B" w:rsidRPr="00AB2939">
        <w:rPr>
          <w:rFonts w:ascii="Times New Roman" w:eastAsia="Times New Roman" w:hAnsi="Times New Roman" w:cs="Times New Roman"/>
          <w:b/>
          <w:bCs/>
          <w:sz w:val="24"/>
          <w:szCs w:val="24"/>
        </w:rPr>
        <w:t>A</w:t>
      </w:r>
      <w:r w:rsidR="00D67B5B" w:rsidRPr="00AB2939">
        <w:rPr>
          <w:rFonts w:ascii="Times New Roman" w:eastAsia="Times New Roman" w:hAnsi="Times New Roman" w:cs="Times New Roman"/>
          <w:b/>
          <w:bCs/>
          <w:sz w:val="24"/>
          <w:szCs w:val="24"/>
        </w:rPr>
        <w:t xml:space="preserve">dministration of t-TUCB </w:t>
      </w:r>
      <w:r>
        <w:rPr>
          <w:rFonts w:ascii="Times New Roman" w:eastAsia="Times New Roman" w:hAnsi="Times New Roman" w:cs="Times New Roman"/>
          <w:b/>
          <w:bCs/>
          <w:sz w:val="24"/>
          <w:szCs w:val="24"/>
        </w:rPr>
        <w:t xml:space="preserve">in </w:t>
      </w:r>
      <w:r w:rsidR="000003C1" w:rsidRPr="00AB2939">
        <w:rPr>
          <w:rFonts w:ascii="Times New Roman" w:eastAsia="Times New Roman" w:hAnsi="Times New Roman" w:cs="Times New Roman"/>
          <w:b/>
          <w:bCs/>
          <w:sz w:val="24"/>
          <w:szCs w:val="24"/>
        </w:rPr>
        <w:t>Horses with</w:t>
      </w:r>
      <w:r w:rsidR="00D67B5B" w:rsidRPr="00AB2939">
        <w:rPr>
          <w:rFonts w:ascii="Times New Roman" w:eastAsia="Times New Roman" w:hAnsi="Times New Roman" w:cs="Times New Roman"/>
          <w:b/>
          <w:bCs/>
          <w:sz w:val="24"/>
          <w:szCs w:val="24"/>
        </w:rPr>
        <w:t xml:space="preserve"> </w:t>
      </w:r>
      <w:r w:rsidR="00F13E8B" w:rsidRPr="00AB2939">
        <w:rPr>
          <w:rFonts w:ascii="Times New Roman" w:eastAsia="Times New Roman" w:hAnsi="Times New Roman" w:cs="Times New Roman"/>
          <w:b/>
          <w:bCs/>
          <w:sz w:val="24"/>
          <w:szCs w:val="24"/>
        </w:rPr>
        <w:t>Na</w:t>
      </w:r>
      <w:r w:rsidR="00D67B5B" w:rsidRPr="00AB2939">
        <w:rPr>
          <w:rFonts w:ascii="Times New Roman" w:eastAsia="Times New Roman" w:hAnsi="Times New Roman" w:cs="Times New Roman"/>
          <w:b/>
          <w:bCs/>
          <w:sz w:val="24"/>
          <w:szCs w:val="24"/>
        </w:rPr>
        <w:t xml:space="preserve">turally </w:t>
      </w:r>
      <w:r w:rsidR="00F13E8B" w:rsidRPr="00AB2939">
        <w:rPr>
          <w:rFonts w:ascii="Times New Roman" w:eastAsia="Times New Roman" w:hAnsi="Times New Roman" w:cs="Times New Roman"/>
          <w:b/>
          <w:bCs/>
          <w:sz w:val="24"/>
          <w:szCs w:val="24"/>
        </w:rPr>
        <w:t>Oc</w:t>
      </w:r>
      <w:r w:rsidR="00D67B5B" w:rsidRPr="00AB2939">
        <w:rPr>
          <w:rFonts w:ascii="Times New Roman" w:eastAsia="Times New Roman" w:hAnsi="Times New Roman" w:cs="Times New Roman"/>
          <w:b/>
          <w:bCs/>
          <w:sz w:val="24"/>
          <w:szCs w:val="24"/>
        </w:rPr>
        <w:t xml:space="preserve">curring </w:t>
      </w:r>
      <w:r w:rsidR="00F13E8B" w:rsidRPr="00AB2939">
        <w:rPr>
          <w:rFonts w:ascii="Times New Roman" w:eastAsia="Times New Roman" w:hAnsi="Times New Roman" w:cs="Times New Roman"/>
          <w:b/>
          <w:bCs/>
          <w:sz w:val="24"/>
          <w:szCs w:val="24"/>
        </w:rPr>
        <w:t>Os</w:t>
      </w:r>
      <w:r w:rsidR="00D67B5B" w:rsidRPr="00AB2939">
        <w:rPr>
          <w:rFonts w:ascii="Times New Roman" w:eastAsia="Times New Roman" w:hAnsi="Times New Roman" w:cs="Times New Roman"/>
          <w:b/>
          <w:bCs/>
          <w:sz w:val="24"/>
          <w:szCs w:val="24"/>
        </w:rPr>
        <w:t xml:space="preserve">teoarthritis </w:t>
      </w:r>
      <w:r>
        <w:rPr>
          <w:rFonts w:ascii="Times New Roman" w:eastAsia="Times New Roman" w:hAnsi="Times New Roman" w:cs="Times New Roman"/>
          <w:b/>
          <w:bCs/>
          <w:sz w:val="24"/>
          <w:szCs w:val="24"/>
        </w:rPr>
        <w:t xml:space="preserve">Receiving t-TUCB and Firocoxib </w:t>
      </w:r>
      <w:r w:rsidRPr="00597E79">
        <w:rPr>
          <w:rFonts w:ascii="Times New Roman" w:eastAsia="Times New Roman" w:hAnsi="Times New Roman" w:cs="Times New Roman"/>
          <w:b/>
          <w:bCs/>
          <w:sz w:val="24"/>
          <w:szCs w:val="24"/>
        </w:rPr>
        <w:t>Alone and in Combination</w:t>
      </w:r>
    </w:p>
    <w:p w14:paraId="3DF24CD4" w14:textId="77777777" w:rsidR="00D67B5B" w:rsidRDefault="00D67B5B" w:rsidP="00D67B5B">
      <w:pPr>
        <w:rPr>
          <w:rFonts w:ascii="Times New Roman" w:eastAsia="Times New Roman" w:hAnsi="Times New Roman" w:cs="Times New Roman"/>
          <w:sz w:val="24"/>
          <w:szCs w:val="24"/>
        </w:rPr>
      </w:pPr>
    </w:p>
    <w:p w14:paraId="4F3D60D6" w14:textId="430C9CD7" w:rsidR="008C4CFC" w:rsidRPr="00BF3FFF" w:rsidRDefault="004A6366" w:rsidP="00373E81">
      <w:pPr>
        <w:spacing w:line="240" w:lineRule="auto"/>
        <w:rPr>
          <w:rFonts w:ascii="Times New Roman" w:eastAsia="Times New Roman" w:hAnsi="Times New Roman" w:cs="Times New Roman"/>
          <w:b/>
          <w:bCs/>
          <w:sz w:val="24"/>
          <w:szCs w:val="24"/>
        </w:rPr>
      </w:pPr>
      <w:r w:rsidRPr="00AB2939">
        <w:rPr>
          <w:rFonts w:ascii="Times New Roman" w:eastAsia="Times New Roman" w:hAnsi="Times New Roman" w:cs="Times New Roman"/>
          <w:b/>
          <w:bCs/>
          <w:sz w:val="24"/>
          <w:szCs w:val="24"/>
        </w:rPr>
        <w:t>Objective:</w:t>
      </w:r>
      <w:r w:rsidR="00BF3FFF">
        <w:rPr>
          <w:rFonts w:ascii="Times New Roman" w:eastAsia="Times New Roman" w:hAnsi="Times New Roman" w:cs="Times New Roman"/>
          <w:b/>
          <w:bCs/>
          <w:sz w:val="24"/>
          <w:szCs w:val="24"/>
        </w:rPr>
        <w:t xml:space="preserve"> </w:t>
      </w:r>
      <w:r w:rsidR="00D67B5B">
        <w:rPr>
          <w:rFonts w:ascii="Times New Roman" w:eastAsia="Times New Roman" w:hAnsi="Times New Roman" w:cs="Times New Roman"/>
          <w:sz w:val="24"/>
          <w:szCs w:val="24"/>
        </w:rPr>
        <w:t>Soluble epoxide hydrolase (sEH) is a novel target to control inflammation and pain</w:t>
      </w:r>
      <w:r w:rsidR="00B6280C">
        <w:rPr>
          <w:rFonts w:ascii="Times New Roman" w:eastAsia="Times New Roman" w:hAnsi="Times New Roman" w:cs="Times New Roman"/>
          <w:sz w:val="24"/>
          <w:szCs w:val="24"/>
        </w:rPr>
        <w:t xml:space="preserve"> associated with osteoarthritis in horses</w:t>
      </w:r>
      <w:r w:rsidR="00D67B5B">
        <w:rPr>
          <w:rFonts w:ascii="Times New Roman" w:eastAsia="Times New Roman" w:hAnsi="Times New Roman" w:cs="Times New Roman"/>
          <w:sz w:val="24"/>
          <w:szCs w:val="24"/>
        </w:rPr>
        <w:t xml:space="preserve">. Recent studies have demonstrated that sEH-generated </w:t>
      </w:r>
      <w:proofErr w:type="spellStart"/>
      <w:r w:rsidR="00D67B5B">
        <w:rPr>
          <w:rFonts w:ascii="Times New Roman" w:eastAsia="Times New Roman" w:hAnsi="Times New Roman" w:cs="Times New Roman"/>
          <w:sz w:val="24"/>
          <w:szCs w:val="24"/>
        </w:rPr>
        <w:t>dihydroxyeicosatrienoic</w:t>
      </w:r>
      <w:proofErr w:type="spellEnd"/>
      <w:r w:rsidR="00D67B5B">
        <w:rPr>
          <w:rFonts w:ascii="Times New Roman" w:eastAsia="Times New Roman" w:hAnsi="Times New Roman" w:cs="Times New Roman"/>
          <w:sz w:val="24"/>
          <w:szCs w:val="24"/>
        </w:rPr>
        <w:t xml:space="preserve"> acids (DHETs) induce chondrocyte apoptosis and have been associated with the progression of osteoarthritis (</w:t>
      </w:r>
      <w:r w:rsidR="00AB2939">
        <w:rPr>
          <w:rFonts w:ascii="Times New Roman" w:eastAsia="Times New Roman" w:hAnsi="Times New Roman" w:cs="Times New Roman"/>
          <w:sz w:val="24"/>
          <w:szCs w:val="24"/>
        </w:rPr>
        <w:t>6</w:t>
      </w:r>
      <w:r w:rsidR="00FD73A6">
        <w:rPr>
          <w:rFonts w:ascii="Times New Roman" w:eastAsia="Times New Roman" w:hAnsi="Times New Roman" w:cs="Times New Roman"/>
          <w:sz w:val="24"/>
          <w:szCs w:val="24"/>
        </w:rPr>
        <w:t xml:space="preserve">, </w:t>
      </w:r>
      <w:r w:rsidR="00AB2939">
        <w:rPr>
          <w:rFonts w:ascii="Times New Roman" w:eastAsia="Times New Roman" w:hAnsi="Times New Roman" w:cs="Times New Roman"/>
          <w:sz w:val="24"/>
          <w:szCs w:val="24"/>
        </w:rPr>
        <w:t>7)</w:t>
      </w:r>
      <w:r w:rsidR="00D67B5B">
        <w:rPr>
          <w:rFonts w:ascii="Times New Roman" w:eastAsia="Times New Roman" w:hAnsi="Times New Roman" w:cs="Times New Roman"/>
          <w:sz w:val="24"/>
          <w:szCs w:val="24"/>
        </w:rPr>
        <w:t xml:space="preserve">. The sEH inhibitor, </w:t>
      </w:r>
      <w:r w:rsidR="00D67B5B" w:rsidRPr="0080316C">
        <w:rPr>
          <w:rFonts w:ascii="Times New Roman" w:eastAsia="Times New Roman" w:hAnsi="Times New Roman" w:cs="Times New Roman"/>
          <w:i/>
          <w:iCs/>
          <w:sz w:val="24"/>
          <w:szCs w:val="24"/>
        </w:rPr>
        <w:t>trans</w:t>
      </w:r>
      <w:r w:rsidR="00D67B5B">
        <w:rPr>
          <w:rFonts w:ascii="Times New Roman" w:eastAsia="Times New Roman" w:hAnsi="Times New Roman" w:cs="Times New Roman"/>
          <w:sz w:val="24"/>
          <w:szCs w:val="24"/>
        </w:rPr>
        <w:t>-4-</w:t>
      </w:r>
      <w:r w:rsidR="00FA5569">
        <w:rPr>
          <w:rFonts w:ascii="Times New Roman" w:eastAsia="Times New Roman" w:hAnsi="Times New Roman" w:cs="Times New Roman"/>
          <w:sz w:val="24"/>
          <w:szCs w:val="24"/>
        </w:rPr>
        <w:t>{</w:t>
      </w:r>
      <w:r w:rsidR="00D67B5B">
        <w:rPr>
          <w:rFonts w:ascii="Times New Roman" w:eastAsia="Times New Roman" w:hAnsi="Times New Roman" w:cs="Times New Roman"/>
          <w:sz w:val="24"/>
          <w:szCs w:val="24"/>
        </w:rPr>
        <w:t>4-[3-(4-trifluro-methoxy-phenyl)-ureido]-</w:t>
      </w:r>
      <w:r w:rsidR="00D67B5B" w:rsidRPr="00C9283B">
        <w:rPr>
          <w:rFonts w:ascii="Times New Roman" w:eastAsia="Times New Roman" w:hAnsi="Times New Roman" w:cs="Times New Roman"/>
          <w:sz w:val="24"/>
          <w:szCs w:val="24"/>
        </w:rPr>
        <w:t>cyclohexyloxy</w:t>
      </w:r>
      <w:r w:rsidR="00FA5569">
        <w:rPr>
          <w:rFonts w:ascii="Times New Roman" w:eastAsia="Times New Roman" w:hAnsi="Times New Roman" w:cs="Times New Roman"/>
          <w:sz w:val="24"/>
          <w:szCs w:val="24"/>
        </w:rPr>
        <w:t>}</w:t>
      </w:r>
      <w:r w:rsidR="00D67B5B" w:rsidRPr="00C9283B">
        <w:rPr>
          <w:rFonts w:ascii="Times New Roman" w:eastAsia="Times New Roman" w:hAnsi="Times New Roman" w:cs="Times New Roman"/>
          <w:sz w:val="24"/>
          <w:szCs w:val="24"/>
        </w:rPr>
        <w:t>-benzoic acid (</w:t>
      </w:r>
      <w:r w:rsidR="00D67B5B" w:rsidRPr="00C9283B">
        <w:rPr>
          <w:rFonts w:ascii="Times New Roman" w:eastAsia="Times New Roman" w:hAnsi="Times New Roman" w:cs="Times New Roman"/>
          <w:i/>
          <w:iCs/>
          <w:sz w:val="24"/>
          <w:szCs w:val="24"/>
        </w:rPr>
        <w:t>t</w:t>
      </w:r>
      <w:r w:rsidR="00D67B5B" w:rsidRPr="00C9283B">
        <w:rPr>
          <w:rFonts w:ascii="Times New Roman" w:eastAsia="Times New Roman" w:hAnsi="Times New Roman" w:cs="Times New Roman"/>
          <w:sz w:val="24"/>
          <w:szCs w:val="24"/>
        </w:rPr>
        <w:t>-TUCB), is emerging as a promising disease-modifying treatment for osteoarthritis in veterinary species (</w:t>
      </w:r>
      <w:r w:rsidR="00CA7C0B">
        <w:rPr>
          <w:rFonts w:ascii="Times New Roman" w:eastAsia="Times New Roman" w:hAnsi="Times New Roman" w:cs="Times New Roman"/>
          <w:sz w:val="24"/>
          <w:szCs w:val="24"/>
        </w:rPr>
        <w:t>1</w:t>
      </w:r>
      <w:r w:rsidR="00D67B5B" w:rsidRPr="00C9283B">
        <w:rPr>
          <w:rFonts w:ascii="Times New Roman" w:eastAsia="Times New Roman" w:hAnsi="Times New Roman" w:cs="Times New Roman"/>
          <w:sz w:val="24"/>
          <w:szCs w:val="24"/>
        </w:rPr>
        <w:t xml:space="preserve">, </w:t>
      </w:r>
      <w:r w:rsidR="00321896">
        <w:rPr>
          <w:rFonts w:ascii="Times New Roman" w:eastAsia="Times New Roman" w:hAnsi="Times New Roman" w:cs="Times New Roman"/>
          <w:sz w:val="24"/>
          <w:szCs w:val="24"/>
        </w:rPr>
        <w:t>2</w:t>
      </w:r>
      <w:r w:rsidR="00D67B5B" w:rsidRPr="00C9283B">
        <w:rPr>
          <w:rFonts w:ascii="Times New Roman" w:eastAsia="Times New Roman" w:hAnsi="Times New Roman" w:cs="Times New Roman"/>
          <w:sz w:val="24"/>
          <w:szCs w:val="24"/>
        </w:rPr>
        <w:t xml:space="preserve">, </w:t>
      </w:r>
      <w:r w:rsidR="00AB2939">
        <w:rPr>
          <w:rFonts w:ascii="Times New Roman" w:eastAsia="Times New Roman" w:hAnsi="Times New Roman" w:cs="Times New Roman"/>
          <w:sz w:val="24"/>
          <w:szCs w:val="24"/>
        </w:rPr>
        <w:t>8</w:t>
      </w:r>
      <w:r w:rsidR="00D67B5B" w:rsidRPr="00C9283B">
        <w:rPr>
          <w:rFonts w:ascii="Times New Roman" w:eastAsia="Times New Roman" w:hAnsi="Times New Roman" w:cs="Times New Roman"/>
          <w:sz w:val="24"/>
          <w:szCs w:val="24"/>
        </w:rPr>
        <w:t xml:space="preserve">). </w:t>
      </w:r>
      <w:r w:rsidR="00B6280C" w:rsidRPr="00C9283B">
        <w:rPr>
          <w:rFonts w:ascii="Times New Roman" w:eastAsia="Times New Roman" w:hAnsi="Times New Roman" w:cs="Times New Roman"/>
          <w:sz w:val="24"/>
          <w:szCs w:val="24"/>
        </w:rPr>
        <w:t xml:space="preserve">However, there is minimal data </w:t>
      </w:r>
      <w:r w:rsidR="009D63D6">
        <w:rPr>
          <w:rFonts w:ascii="Times New Roman" w:eastAsia="Times New Roman" w:hAnsi="Times New Roman" w:cs="Times New Roman"/>
          <w:sz w:val="24"/>
          <w:szCs w:val="24"/>
        </w:rPr>
        <w:t xml:space="preserve">in the literature </w:t>
      </w:r>
      <w:r w:rsidR="00B6280C" w:rsidRPr="00C9283B">
        <w:rPr>
          <w:rFonts w:ascii="Times New Roman" w:eastAsia="Times New Roman" w:hAnsi="Times New Roman" w:cs="Times New Roman"/>
          <w:sz w:val="24"/>
          <w:szCs w:val="24"/>
        </w:rPr>
        <w:t>evaluating the p</w:t>
      </w:r>
      <w:r w:rsidR="00D67B5B" w:rsidRPr="00C9283B">
        <w:rPr>
          <w:rFonts w:ascii="Times New Roman" w:eastAsia="Times New Roman" w:hAnsi="Times New Roman" w:cs="Times New Roman"/>
          <w:sz w:val="24"/>
          <w:szCs w:val="24"/>
        </w:rPr>
        <w:t xml:space="preserve">harmacokinetics of </w:t>
      </w:r>
      <w:r w:rsidR="00486A99" w:rsidRPr="00F61E09">
        <w:rPr>
          <w:rFonts w:ascii="Times New Roman" w:eastAsia="Times New Roman" w:hAnsi="Times New Roman" w:cs="Times New Roman"/>
          <w:i/>
          <w:iCs/>
          <w:sz w:val="24"/>
          <w:szCs w:val="24"/>
        </w:rPr>
        <w:t>t</w:t>
      </w:r>
      <w:r w:rsidR="00486A99">
        <w:rPr>
          <w:rFonts w:ascii="Times New Roman" w:eastAsia="Times New Roman" w:hAnsi="Times New Roman" w:cs="Times New Roman"/>
          <w:sz w:val="24"/>
          <w:szCs w:val="24"/>
        </w:rPr>
        <w:t>-</w:t>
      </w:r>
      <w:r w:rsidR="00D67B5B" w:rsidRPr="00C9283B">
        <w:rPr>
          <w:rFonts w:ascii="Times New Roman" w:eastAsia="Times New Roman" w:hAnsi="Times New Roman" w:cs="Times New Roman"/>
          <w:sz w:val="24"/>
          <w:szCs w:val="24"/>
        </w:rPr>
        <w:t>TUCB</w:t>
      </w:r>
      <w:r w:rsidR="00486A99">
        <w:rPr>
          <w:rFonts w:ascii="Times New Roman" w:eastAsia="Times New Roman" w:hAnsi="Times New Roman" w:cs="Times New Roman"/>
          <w:sz w:val="24"/>
          <w:szCs w:val="24"/>
        </w:rPr>
        <w:t xml:space="preserve"> in horses</w:t>
      </w:r>
      <w:r w:rsidR="009D63D6">
        <w:rPr>
          <w:rFonts w:ascii="Times New Roman" w:eastAsia="Times New Roman" w:hAnsi="Times New Roman" w:cs="Times New Roman"/>
          <w:sz w:val="24"/>
          <w:szCs w:val="24"/>
        </w:rPr>
        <w:t>, including no multidose pharmacokinetics or synovial fluid analyses following oral administration</w:t>
      </w:r>
      <w:r w:rsidR="00DD4379" w:rsidRPr="00C9283B">
        <w:rPr>
          <w:rFonts w:ascii="Times New Roman" w:eastAsia="Times New Roman" w:hAnsi="Times New Roman" w:cs="Times New Roman"/>
          <w:sz w:val="24"/>
          <w:szCs w:val="24"/>
        </w:rPr>
        <w:t xml:space="preserve">. </w:t>
      </w:r>
      <w:r w:rsidR="0050411C">
        <w:rPr>
          <w:rFonts w:ascii="Times New Roman" w:eastAsia="Times New Roman" w:hAnsi="Times New Roman" w:cs="Times New Roman"/>
          <w:sz w:val="24"/>
          <w:szCs w:val="24"/>
        </w:rPr>
        <w:t xml:space="preserve">Previous studies have evaluated effects of </w:t>
      </w:r>
      <w:r w:rsidR="00B17A83">
        <w:rPr>
          <w:rFonts w:ascii="Times New Roman" w:eastAsia="Times New Roman" w:hAnsi="Times New Roman" w:cs="Times New Roman"/>
          <w:sz w:val="24"/>
          <w:szCs w:val="24"/>
        </w:rPr>
        <w:t xml:space="preserve">single dose </w:t>
      </w:r>
      <w:r w:rsidR="0050411C">
        <w:rPr>
          <w:rFonts w:ascii="Times New Roman" w:eastAsia="Times New Roman" w:hAnsi="Times New Roman" w:cs="Times New Roman"/>
          <w:sz w:val="24"/>
          <w:szCs w:val="24"/>
        </w:rPr>
        <w:t xml:space="preserve">intravenous administration of </w:t>
      </w:r>
      <w:r w:rsidR="00486A99" w:rsidRPr="00F61E09">
        <w:rPr>
          <w:rFonts w:ascii="Times New Roman" w:eastAsia="Times New Roman" w:hAnsi="Times New Roman" w:cs="Times New Roman"/>
          <w:i/>
          <w:iCs/>
          <w:sz w:val="24"/>
          <w:szCs w:val="24"/>
        </w:rPr>
        <w:t>t-</w:t>
      </w:r>
      <w:r w:rsidR="0050411C">
        <w:rPr>
          <w:rFonts w:ascii="Times New Roman" w:eastAsia="Times New Roman" w:hAnsi="Times New Roman" w:cs="Times New Roman"/>
          <w:sz w:val="24"/>
          <w:szCs w:val="24"/>
        </w:rPr>
        <w:t>TUCB on LPS-induced synovitis in horses</w:t>
      </w:r>
      <w:r w:rsidR="009D63D6">
        <w:rPr>
          <w:rFonts w:ascii="Times New Roman" w:eastAsia="Times New Roman" w:hAnsi="Times New Roman" w:cs="Times New Roman"/>
          <w:sz w:val="24"/>
          <w:szCs w:val="24"/>
        </w:rPr>
        <w:t xml:space="preserve"> (2)</w:t>
      </w:r>
      <w:r w:rsidR="0050411C">
        <w:rPr>
          <w:rFonts w:ascii="Times New Roman" w:eastAsia="Times New Roman" w:hAnsi="Times New Roman" w:cs="Times New Roman"/>
          <w:sz w:val="24"/>
          <w:szCs w:val="24"/>
        </w:rPr>
        <w:t xml:space="preserve">, </w:t>
      </w:r>
      <w:r w:rsidR="009D63D6">
        <w:rPr>
          <w:rFonts w:ascii="Times New Roman" w:eastAsia="Times New Roman" w:hAnsi="Times New Roman" w:cs="Times New Roman"/>
          <w:sz w:val="24"/>
          <w:szCs w:val="24"/>
        </w:rPr>
        <w:t xml:space="preserve">single dose pharmacokinetics (4), </w:t>
      </w:r>
      <w:r w:rsidR="0050411C">
        <w:rPr>
          <w:rFonts w:ascii="Times New Roman" w:eastAsia="Times New Roman" w:hAnsi="Times New Roman" w:cs="Times New Roman"/>
          <w:sz w:val="24"/>
          <w:szCs w:val="24"/>
        </w:rPr>
        <w:t>or effects of oral dosing in dogs</w:t>
      </w:r>
      <w:r w:rsidR="009D63D6">
        <w:rPr>
          <w:rFonts w:ascii="Times New Roman" w:eastAsia="Times New Roman" w:hAnsi="Times New Roman" w:cs="Times New Roman"/>
          <w:sz w:val="24"/>
          <w:szCs w:val="24"/>
        </w:rPr>
        <w:t xml:space="preserve"> (3)</w:t>
      </w:r>
      <w:r w:rsidR="0050411C">
        <w:rPr>
          <w:rFonts w:ascii="Times New Roman" w:eastAsia="Times New Roman" w:hAnsi="Times New Roman" w:cs="Times New Roman"/>
          <w:sz w:val="24"/>
          <w:szCs w:val="24"/>
        </w:rPr>
        <w:t xml:space="preserve">. </w:t>
      </w:r>
      <w:r w:rsidR="00D67B5B" w:rsidRPr="00C9283B">
        <w:rPr>
          <w:rFonts w:ascii="Times New Roman" w:eastAsia="Times New Roman" w:hAnsi="Times New Roman" w:cs="Times New Roman"/>
          <w:sz w:val="24"/>
          <w:szCs w:val="24"/>
        </w:rPr>
        <w:t>The objective</w:t>
      </w:r>
      <w:r w:rsidR="00B17A83">
        <w:rPr>
          <w:rFonts w:ascii="Times New Roman" w:eastAsia="Times New Roman" w:hAnsi="Times New Roman" w:cs="Times New Roman"/>
          <w:sz w:val="24"/>
          <w:szCs w:val="24"/>
        </w:rPr>
        <w:t xml:space="preserve"> of this study</w:t>
      </w:r>
      <w:r w:rsidR="00D67B5B" w:rsidRPr="00C9283B">
        <w:rPr>
          <w:rFonts w:ascii="Times New Roman" w:eastAsia="Times New Roman" w:hAnsi="Times New Roman" w:cs="Times New Roman"/>
          <w:sz w:val="24"/>
          <w:szCs w:val="24"/>
        </w:rPr>
        <w:t xml:space="preserve"> was to</w:t>
      </w:r>
      <w:r w:rsidR="00A06E95" w:rsidRPr="00C9283B">
        <w:rPr>
          <w:rFonts w:ascii="Times New Roman" w:eastAsia="Times New Roman" w:hAnsi="Times New Roman" w:cs="Times New Roman"/>
          <w:sz w:val="24"/>
          <w:szCs w:val="24"/>
        </w:rPr>
        <w:t xml:space="preserve"> </w:t>
      </w:r>
      <w:r w:rsidR="005365BF" w:rsidRPr="00C9283B">
        <w:rPr>
          <w:rFonts w:ascii="Times New Roman" w:hAnsi="Times New Roman" w:cs="Times New Roman"/>
          <w:sz w:val="24"/>
          <w:szCs w:val="24"/>
        </w:rPr>
        <w:t xml:space="preserve">determine the </w:t>
      </w:r>
      <w:r w:rsidR="0050411C">
        <w:rPr>
          <w:rFonts w:ascii="Times New Roman" w:hAnsi="Times New Roman" w:cs="Times New Roman"/>
          <w:sz w:val="24"/>
          <w:szCs w:val="24"/>
        </w:rPr>
        <w:t xml:space="preserve">synovial fluid </w:t>
      </w:r>
      <w:r w:rsidR="00A06E95" w:rsidRPr="00C9283B">
        <w:rPr>
          <w:rFonts w:ascii="Times New Roman" w:hAnsi="Times New Roman" w:cs="Times New Roman"/>
          <w:sz w:val="24"/>
          <w:szCs w:val="24"/>
        </w:rPr>
        <w:t>concentration</w:t>
      </w:r>
      <w:r w:rsidR="0050411C">
        <w:rPr>
          <w:rFonts w:ascii="Times New Roman" w:hAnsi="Times New Roman" w:cs="Times New Roman"/>
          <w:sz w:val="24"/>
          <w:szCs w:val="24"/>
        </w:rPr>
        <w:t xml:space="preserve">, time to reach </w:t>
      </w:r>
      <w:r w:rsidR="00B37176">
        <w:rPr>
          <w:rFonts w:ascii="Times New Roman" w:hAnsi="Times New Roman" w:cs="Times New Roman"/>
          <w:sz w:val="24"/>
          <w:szCs w:val="24"/>
        </w:rPr>
        <w:t xml:space="preserve">plasma </w:t>
      </w:r>
      <w:r w:rsidR="0050411C">
        <w:rPr>
          <w:rFonts w:ascii="Times New Roman" w:hAnsi="Times New Roman" w:cs="Times New Roman"/>
          <w:sz w:val="24"/>
          <w:szCs w:val="24"/>
        </w:rPr>
        <w:t>steady state concentrations,</w:t>
      </w:r>
      <w:r w:rsidR="00A06E95" w:rsidRPr="00C9283B">
        <w:rPr>
          <w:rFonts w:ascii="Times New Roman" w:hAnsi="Times New Roman" w:cs="Times New Roman"/>
          <w:sz w:val="24"/>
          <w:szCs w:val="24"/>
        </w:rPr>
        <w:t xml:space="preserve"> and elimination half-life of the soluble epoxide hydrolase inhibitor</w:t>
      </w:r>
      <w:r w:rsidR="00A06E95" w:rsidRPr="00C9283B">
        <w:rPr>
          <w:rFonts w:ascii="Times New Roman" w:hAnsi="Times New Roman" w:cs="Times New Roman"/>
          <w:i/>
          <w:iCs/>
          <w:sz w:val="24"/>
          <w:szCs w:val="24"/>
        </w:rPr>
        <w:t xml:space="preserve"> t</w:t>
      </w:r>
      <w:r w:rsidR="00A06E95" w:rsidRPr="00C9283B">
        <w:rPr>
          <w:rFonts w:ascii="Times New Roman" w:hAnsi="Times New Roman" w:cs="Times New Roman"/>
          <w:sz w:val="24"/>
          <w:szCs w:val="24"/>
        </w:rPr>
        <w:t>-TUCB (500 mg/horse) following multi-dose oral administration in horses. We hypothesize</w:t>
      </w:r>
      <w:r w:rsidR="0050411C">
        <w:rPr>
          <w:rFonts w:ascii="Times New Roman" w:hAnsi="Times New Roman" w:cs="Times New Roman"/>
          <w:sz w:val="24"/>
          <w:szCs w:val="24"/>
        </w:rPr>
        <w:t>d</w:t>
      </w:r>
      <w:r w:rsidR="00A06E95" w:rsidRPr="00C9283B">
        <w:rPr>
          <w:rFonts w:ascii="Times New Roman" w:hAnsi="Times New Roman" w:cs="Times New Roman"/>
          <w:sz w:val="24"/>
          <w:szCs w:val="24"/>
        </w:rPr>
        <w:t xml:space="preserve"> that steady-state w</w:t>
      </w:r>
      <w:r w:rsidR="0050411C">
        <w:rPr>
          <w:rFonts w:ascii="Times New Roman" w:hAnsi="Times New Roman" w:cs="Times New Roman"/>
          <w:sz w:val="24"/>
          <w:szCs w:val="24"/>
        </w:rPr>
        <w:t>ould</w:t>
      </w:r>
      <w:r w:rsidR="00A06E95" w:rsidRPr="00C9283B">
        <w:rPr>
          <w:rFonts w:ascii="Times New Roman" w:hAnsi="Times New Roman" w:cs="Times New Roman"/>
          <w:sz w:val="24"/>
          <w:szCs w:val="24"/>
        </w:rPr>
        <w:t xml:space="preserve"> be reached within 5 days of oral administration of </w:t>
      </w:r>
      <w:r w:rsidR="00A06E95" w:rsidRPr="00C9283B">
        <w:rPr>
          <w:rFonts w:ascii="Times New Roman" w:hAnsi="Times New Roman" w:cs="Times New Roman"/>
          <w:i/>
          <w:iCs/>
          <w:sz w:val="24"/>
          <w:szCs w:val="24"/>
        </w:rPr>
        <w:t>t</w:t>
      </w:r>
      <w:r w:rsidR="00A06E95" w:rsidRPr="00C9283B">
        <w:rPr>
          <w:rFonts w:ascii="Times New Roman" w:hAnsi="Times New Roman" w:cs="Times New Roman"/>
          <w:sz w:val="24"/>
          <w:szCs w:val="24"/>
        </w:rPr>
        <w:t xml:space="preserve">-TUCB, and that the elimination half-life following steady-state </w:t>
      </w:r>
      <w:r w:rsidR="0050411C">
        <w:rPr>
          <w:rFonts w:ascii="Times New Roman" w:hAnsi="Times New Roman" w:cs="Times New Roman"/>
          <w:sz w:val="24"/>
          <w:szCs w:val="24"/>
        </w:rPr>
        <w:t>would</w:t>
      </w:r>
      <w:r w:rsidR="00A06E95" w:rsidRPr="00C9283B">
        <w:rPr>
          <w:rFonts w:ascii="Times New Roman" w:hAnsi="Times New Roman" w:cs="Times New Roman"/>
          <w:sz w:val="24"/>
          <w:szCs w:val="24"/>
        </w:rPr>
        <w:t xml:space="preserve"> not significantly differ from the reported half-life following single-dose administration.</w:t>
      </w:r>
      <w:r w:rsidR="00A06E95">
        <w:rPr>
          <w:rFonts w:ascii="CIDFont+F3" w:hAnsi="CIDFont+F3"/>
        </w:rPr>
        <w:t xml:space="preserve"> </w:t>
      </w:r>
    </w:p>
    <w:p w14:paraId="662555DA" w14:textId="77777777" w:rsidR="005365BF" w:rsidRDefault="005365BF" w:rsidP="00373E81">
      <w:pPr>
        <w:spacing w:line="240" w:lineRule="auto"/>
        <w:rPr>
          <w:rFonts w:ascii="Times New Roman" w:eastAsia="Times New Roman" w:hAnsi="Times New Roman" w:cs="Times New Roman"/>
          <w:sz w:val="24"/>
          <w:szCs w:val="24"/>
        </w:rPr>
      </w:pPr>
    </w:p>
    <w:p w14:paraId="2580D976" w14:textId="636E6506" w:rsidR="00F13E8B" w:rsidRPr="00BF3FFF" w:rsidRDefault="004A6366" w:rsidP="00373E81">
      <w:pPr>
        <w:spacing w:line="240" w:lineRule="auto"/>
        <w:rPr>
          <w:rFonts w:ascii="Times New Roman" w:eastAsia="Times New Roman" w:hAnsi="Times New Roman" w:cs="Times New Roman"/>
          <w:b/>
          <w:bCs/>
          <w:sz w:val="24"/>
          <w:szCs w:val="24"/>
        </w:rPr>
      </w:pPr>
      <w:r w:rsidRPr="00BF3FFF">
        <w:rPr>
          <w:rFonts w:ascii="Times New Roman" w:eastAsia="Times New Roman" w:hAnsi="Times New Roman" w:cs="Times New Roman"/>
          <w:b/>
          <w:bCs/>
          <w:sz w:val="24"/>
          <w:szCs w:val="24"/>
        </w:rPr>
        <w:t>Study Design:</w:t>
      </w:r>
      <w:r w:rsidR="00BF3FFF">
        <w:rPr>
          <w:rFonts w:ascii="Times New Roman" w:eastAsia="Times New Roman" w:hAnsi="Times New Roman" w:cs="Times New Roman"/>
          <w:b/>
          <w:bCs/>
          <w:sz w:val="24"/>
          <w:szCs w:val="24"/>
        </w:rPr>
        <w:t xml:space="preserve"> </w:t>
      </w:r>
      <w:r w:rsidR="00D67B5B">
        <w:rPr>
          <w:rFonts w:ascii="Times New Roman" w:eastAsia="Times New Roman" w:hAnsi="Times New Roman" w:cs="Times New Roman"/>
          <w:sz w:val="24"/>
          <w:szCs w:val="24"/>
        </w:rPr>
        <w:t xml:space="preserve">Six horses </w:t>
      </w:r>
      <w:r>
        <w:rPr>
          <w:rFonts w:ascii="Times New Roman" w:eastAsia="Times New Roman" w:hAnsi="Times New Roman" w:cs="Times New Roman"/>
          <w:sz w:val="24"/>
          <w:szCs w:val="24"/>
        </w:rPr>
        <w:t xml:space="preserve">with radiographic evidence of osteoarthritis were utilized </w:t>
      </w:r>
      <w:r w:rsidR="009C5E6C">
        <w:rPr>
          <w:rFonts w:ascii="Times New Roman" w:eastAsia="Times New Roman" w:hAnsi="Times New Roman" w:cs="Times New Roman"/>
          <w:sz w:val="24"/>
          <w:szCs w:val="24"/>
        </w:rPr>
        <w:t xml:space="preserve">(five mares: four </w:t>
      </w:r>
      <w:r w:rsidR="00F40946">
        <w:rPr>
          <w:rFonts w:ascii="Times New Roman" w:eastAsia="Times New Roman" w:hAnsi="Times New Roman" w:cs="Times New Roman"/>
          <w:sz w:val="24"/>
          <w:szCs w:val="24"/>
        </w:rPr>
        <w:t>American Quarter Horses</w:t>
      </w:r>
      <w:r w:rsidR="009C5E6C">
        <w:rPr>
          <w:rFonts w:ascii="Times New Roman" w:eastAsia="Times New Roman" w:hAnsi="Times New Roman" w:cs="Times New Roman"/>
          <w:sz w:val="24"/>
          <w:szCs w:val="24"/>
        </w:rPr>
        <w:t>, one standardbred</w:t>
      </w:r>
      <w:r w:rsidR="00F40946">
        <w:rPr>
          <w:rFonts w:ascii="Times New Roman" w:eastAsia="Times New Roman" w:hAnsi="Times New Roman" w:cs="Times New Roman"/>
          <w:sz w:val="24"/>
          <w:szCs w:val="24"/>
        </w:rPr>
        <w:t>;</w:t>
      </w:r>
      <w:r w:rsidR="009C5E6C">
        <w:rPr>
          <w:rFonts w:ascii="Times New Roman" w:eastAsia="Times New Roman" w:hAnsi="Times New Roman" w:cs="Times New Roman"/>
          <w:sz w:val="24"/>
          <w:szCs w:val="24"/>
        </w:rPr>
        <w:t xml:space="preserve"> one gelding: standardbred</w:t>
      </w:r>
      <w:r>
        <w:rPr>
          <w:rFonts w:ascii="Times New Roman" w:eastAsia="Times New Roman" w:hAnsi="Times New Roman" w:cs="Times New Roman"/>
          <w:sz w:val="24"/>
          <w:szCs w:val="24"/>
        </w:rPr>
        <w:t>)</w:t>
      </w:r>
      <w:r w:rsidR="009C5E6C">
        <w:rPr>
          <w:rFonts w:ascii="Times New Roman" w:eastAsia="Times New Roman" w:hAnsi="Times New Roman" w:cs="Times New Roman"/>
          <w:sz w:val="24"/>
          <w:szCs w:val="24"/>
        </w:rPr>
        <w:t>. The average weight shifted throughout the study; initial average weight was 456kg ± 46.9kg</w:t>
      </w:r>
      <w:r w:rsidR="00E3096A">
        <w:rPr>
          <w:rFonts w:ascii="Times New Roman" w:eastAsia="Times New Roman" w:hAnsi="Times New Roman" w:cs="Times New Roman"/>
          <w:sz w:val="24"/>
          <w:szCs w:val="24"/>
        </w:rPr>
        <w:t>, and f</w:t>
      </w:r>
      <w:r w:rsidR="009C5E6C">
        <w:rPr>
          <w:rFonts w:ascii="Times New Roman" w:eastAsia="Times New Roman" w:hAnsi="Times New Roman" w:cs="Times New Roman"/>
          <w:sz w:val="24"/>
          <w:szCs w:val="24"/>
        </w:rPr>
        <w:t xml:space="preserve">inal weight measurements </w:t>
      </w:r>
      <w:r w:rsidR="00E3096A">
        <w:rPr>
          <w:rFonts w:ascii="Times New Roman" w:eastAsia="Times New Roman" w:hAnsi="Times New Roman" w:cs="Times New Roman"/>
          <w:sz w:val="24"/>
          <w:szCs w:val="24"/>
        </w:rPr>
        <w:t>averaged</w:t>
      </w:r>
      <w:r w:rsidR="009C5E6C">
        <w:rPr>
          <w:rFonts w:ascii="Times New Roman" w:eastAsia="Times New Roman" w:hAnsi="Times New Roman" w:cs="Times New Roman"/>
          <w:sz w:val="24"/>
          <w:szCs w:val="24"/>
        </w:rPr>
        <w:t xml:space="preserve"> 465kg ± 34.2kg</w:t>
      </w:r>
      <w:r w:rsidR="00D67B5B">
        <w:rPr>
          <w:rFonts w:ascii="Times New Roman" w:eastAsia="Times New Roman" w:hAnsi="Times New Roman" w:cs="Times New Roman"/>
          <w:sz w:val="24"/>
          <w:szCs w:val="24"/>
        </w:rPr>
        <w:t xml:space="preserve">. A 3-way crossover study with a two-week washout period was performed with ten days of oral administration of 1) </w:t>
      </w:r>
      <w:r w:rsidR="00D67B5B">
        <w:rPr>
          <w:rFonts w:ascii="Times New Roman" w:eastAsia="Times New Roman" w:hAnsi="Times New Roman" w:cs="Times New Roman"/>
          <w:i/>
          <w:sz w:val="24"/>
          <w:szCs w:val="24"/>
        </w:rPr>
        <w:t>t</w:t>
      </w:r>
      <w:r w:rsidR="00D67B5B">
        <w:rPr>
          <w:rFonts w:ascii="Times New Roman" w:eastAsia="Times New Roman" w:hAnsi="Times New Roman" w:cs="Times New Roman"/>
          <w:sz w:val="24"/>
          <w:szCs w:val="24"/>
        </w:rPr>
        <w:t>-TUCB (500mg</w:t>
      </w:r>
      <w:r w:rsidR="00F40946">
        <w:rPr>
          <w:rFonts w:ascii="Times New Roman" w:eastAsia="Times New Roman" w:hAnsi="Times New Roman" w:cs="Times New Roman"/>
          <w:sz w:val="24"/>
          <w:szCs w:val="24"/>
        </w:rPr>
        <w:t>/day</w:t>
      </w:r>
      <w:r w:rsidR="00D67B5B">
        <w:rPr>
          <w:rFonts w:ascii="Times New Roman" w:eastAsia="Times New Roman" w:hAnsi="Times New Roman" w:cs="Times New Roman"/>
          <w:sz w:val="24"/>
          <w:szCs w:val="24"/>
        </w:rPr>
        <w:t>), 2) Firocoxib (57mg</w:t>
      </w:r>
      <w:r w:rsidR="00F40946">
        <w:rPr>
          <w:rFonts w:ascii="Times New Roman" w:eastAsia="Times New Roman" w:hAnsi="Times New Roman" w:cs="Times New Roman"/>
          <w:sz w:val="24"/>
          <w:szCs w:val="24"/>
        </w:rPr>
        <w:t>/day</w:t>
      </w:r>
      <w:r w:rsidR="00D67B5B">
        <w:rPr>
          <w:rFonts w:ascii="Times New Roman" w:eastAsia="Times New Roman" w:hAnsi="Times New Roman" w:cs="Times New Roman"/>
          <w:sz w:val="24"/>
          <w:szCs w:val="24"/>
        </w:rPr>
        <w:t xml:space="preserve">), 3) </w:t>
      </w:r>
      <w:r w:rsidR="00D67B5B">
        <w:rPr>
          <w:rFonts w:ascii="Times New Roman" w:eastAsia="Times New Roman" w:hAnsi="Times New Roman" w:cs="Times New Roman"/>
          <w:i/>
          <w:sz w:val="24"/>
          <w:szCs w:val="24"/>
        </w:rPr>
        <w:t>t-</w:t>
      </w:r>
      <w:r w:rsidR="00D67B5B">
        <w:rPr>
          <w:rFonts w:ascii="Times New Roman" w:eastAsia="Times New Roman" w:hAnsi="Times New Roman" w:cs="Times New Roman"/>
          <w:sz w:val="24"/>
          <w:szCs w:val="24"/>
        </w:rPr>
        <w:t>TUCB/Firocoxib</w:t>
      </w:r>
      <w:r w:rsidR="001422B6">
        <w:rPr>
          <w:rFonts w:ascii="Times New Roman" w:eastAsia="Times New Roman" w:hAnsi="Times New Roman" w:cs="Times New Roman"/>
          <w:sz w:val="24"/>
          <w:szCs w:val="24"/>
        </w:rPr>
        <w:t xml:space="preserve"> (TFC)</w:t>
      </w:r>
      <w:r w:rsidR="00D67B5B">
        <w:rPr>
          <w:rFonts w:ascii="Times New Roman" w:eastAsia="Times New Roman" w:hAnsi="Times New Roman" w:cs="Times New Roman"/>
          <w:sz w:val="24"/>
          <w:szCs w:val="24"/>
        </w:rPr>
        <w:t>(500 mg/28.5 mg</w:t>
      </w:r>
      <w:r w:rsidR="00F40946">
        <w:rPr>
          <w:rFonts w:ascii="Times New Roman" w:eastAsia="Times New Roman" w:hAnsi="Times New Roman" w:cs="Times New Roman"/>
          <w:sz w:val="24"/>
          <w:szCs w:val="24"/>
        </w:rPr>
        <w:t xml:space="preserve"> per day</w:t>
      </w:r>
      <w:r w:rsidR="00D67B5B">
        <w:rPr>
          <w:rFonts w:ascii="Times New Roman" w:eastAsia="Times New Roman" w:hAnsi="Times New Roman" w:cs="Times New Roman"/>
          <w:sz w:val="24"/>
          <w:szCs w:val="24"/>
        </w:rPr>
        <w:t xml:space="preserve">). </w:t>
      </w:r>
      <w:r w:rsidR="00F13E8B">
        <w:rPr>
          <w:rFonts w:ascii="Times New Roman" w:eastAsia="Times New Roman" w:hAnsi="Times New Roman" w:cs="Times New Roman"/>
          <w:sz w:val="24"/>
          <w:szCs w:val="24"/>
        </w:rPr>
        <w:t>Plasma samples were collected</w:t>
      </w:r>
      <w:r w:rsidR="00C83FAA">
        <w:rPr>
          <w:rFonts w:ascii="Times New Roman" w:eastAsia="Times New Roman" w:hAnsi="Times New Roman" w:cs="Times New Roman"/>
          <w:sz w:val="24"/>
          <w:szCs w:val="24"/>
        </w:rPr>
        <w:t xml:space="preserve"> at time: 0, 10, 24, 48, 72, 144, 216, 226, 240, 250, 264, 288, 312, 336, 384, 456</w:t>
      </w:r>
      <w:r w:rsidR="00F40946">
        <w:rPr>
          <w:rFonts w:ascii="Times New Roman" w:eastAsia="Times New Roman" w:hAnsi="Times New Roman" w:cs="Times New Roman"/>
          <w:sz w:val="24"/>
          <w:szCs w:val="24"/>
        </w:rPr>
        <w:t xml:space="preserve"> hours</w:t>
      </w:r>
      <w:r w:rsidR="00C83FAA">
        <w:rPr>
          <w:rFonts w:ascii="Times New Roman" w:eastAsia="Times New Roman" w:hAnsi="Times New Roman" w:cs="Times New Roman"/>
          <w:sz w:val="24"/>
          <w:szCs w:val="24"/>
        </w:rPr>
        <w:t xml:space="preserve">. </w:t>
      </w:r>
      <w:r w:rsidR="00B3494B">
        <w:rPr>
          <w:rFonts w:ascii="Times New Roman" w:eastAsia="Times New Roman" w:hAnsi="Times New Roman" w:cs="Times New Roman"/>
          <w:sz w:val="24"/>
          <w:szCs w:val="24"/>
        </w:rPr>
        <w:t xml:space="preserve">Synovial samples were collected </w:t>
      </w:r>
      <w:r w:rsidR="0013613E">
        <w:rPr>
          <w:rFonts w:ascii="Times New Roman" w:eastAsia="Times New Roman" w:hAnsi="Times New Roman" w:cs="Times New Roman"/>
          <w:sz w:val="24"/>
          <w:szCs w:val="24"/>
        </w:rPr>
        <w:t xml:space="preserve">prior to drug administration on day </w:t>
      </w:r>
      <w:r w:rsidR="001B159B">
        <w:rPr>
          <w:rFonts w:ascii="Times New Roman" w:eastAsia="Times New Roman" w:hAnsi="Times New Roman" w:cs="Times New Roman"/>
          <w:sz w:val="24"/>
          <w:szCs w:val="24"/>
        </w:rPr>
        <w:t>-2</w:t>
      </w:r>
      <w:r w:rsidR="0013613E">
        <w:rPr>
          <w:rFonts w:ascii="Times New Roman" w:eastAsia="Times New Roman" w:hAnsi="Times New Roman" w:cs="Times New Roman"/>
          <w:sz w:val="24"/>
          <w:szCs w:val="24"/>
        </w:rPr>
        <w:t xml:space="preserve"> and approximately 24 hours following final drug administration</w:t>
      </w:r>
      <w:r w:rsidR="00B3494B">
        <w:rPr>
          <w:rFonts w:ascii="Times New Roman" w:eastAsia="Times New Roman" w:hAnsi="Times New Roman" w:cs="Times New Roman"/>
          <w:sz w:val="24"/>
          <w:szCs w:val="24"/>
        </w:rPr>
        <w:t>.</w:t>
      </w:r>
      <w:r w:rsidR="001422B6">
        <w:rPr>
          <w:rFonts w:ascii="Times New Roman" w:eastAsia="Times New Roman" w:hAnsi="Times New Roman" w:cs="Times New Roman"/>
          <w:sz w:val="24"/>
          <w:szCs w:val="24"/>
        </w:rPr>
        <w:t xml:space="preserve"> </w:t>
      </w:r>
      <w:r w:rsidR="00F13E8B">
        <w:rPr>
          <w:rFonts w:ascii="Times New Roman" w:hAnsi="Times New Roman" w:cs="Times New Roman"/>
          <w:sz w:val="24"/>
          <w:szCs w:val="24"/>
        </w:rPr>
        <w:t>Plasma and synovial s</w:t>
      </w:r>
      <w:r w:rsidR="00F13E8B" w:rsidRPr="00F13E8B">
        <w:rPr>
          <w:rFonts w:ascii="Times New Roman" w:hAnsi="Times New Roman" w:cs="Times New Roman"/>
          <w:sz w:val="24"/>
          <w:szCs w:val="24"/>
        </w:rPr>
        <w:t xml:space="preserve">amples were mixed with 108 µL of a 1:1 </w:t>
      </w:r>
      <w:proofErr w:type="spellStart"/>
      <w:r w:rsidR="00F13E8B" w:rsidRPr="00F13E8B">
        <w:rPr>
          <w:rFonts w:ascii="Times New Roman" w:hAnsi="Times New Roman" w:cs="Times New Roman"/>
          <w:sz w:val="24"/>
          <w:szCs w:val="24"/>
        </w:rPr>
        <w:t>methanol:acetonitrile</w:t>
      </w:r>
      <w:proofErr w:type="spellEnd"/>
      <w:r w:rsidR="00F13E8B" w:rsidRPr="00F13E8B">
        <w:rPr>
          <w:rFonts w:ascii="Times New Roman" w:hAnsi="Times New Roman" w:cs="Times New Roman"/>
          <w:sz w:val="24"/>
          <w:szCs w:val="24"/>
        </w:rPr>
        <w:t>. Samples were vortexed for 5</w:t>
      </w:r>
      <w:r w:rsidR="001B159B">
        <w:rPr>
          <w:rFonts w:ascii="Times New Roman" w:hAnsi="Times New Roman" w:cs="Times New Roman"/>
          <w:sz w:val="24"/>
          <w:szCs w:val="24"/>
        </w:rPr>
        <w:t xml:space="preserve"> </w:t>
      </w:r>
      <w:r w:rsidR="00F13E8B" w:rsidRPr="00F13E8B">
        <w:rPr>
          <w:rFonts w:ascii="Times New Roman" w:hAnsi="Times New Roman" w:cs="Times New Roman"/>
          <w:sz w:val="24"/>
          <w:szCs w:val="24"/>
        </w:rPr>
        <w:t>min, chilled at -20 °C for 30 min and centrifuged at 2500g for 5 min to remove protein precipitates. The supernatant was filtered through a 0.2 µm PVDF 96-well filter plate and collected for LC-MS/MS analysis. Analytes were separated on a 2.1 mm x 150 mm, 1.7 µm BEH C18 column (Waters, Milford, MA) and detected by electrospray ionization with multiple reaction monitoring on an API 6500 QTRAP (</w:t>
      </w:r>
      <w:proofErr w:type="spellStart"/>
      <w:r w:rsidR="00F13E8B" w:rsidRPr="00F13E8B">
        <w:rPr>
          <w:rFonts w:ascii="Times New Roman" w:hAnsi="Times New Roman" w:cs="Times New Roman"/>
          <w:sz w:val="24"/>
          <w:szCs w:val="24"/>
        </w:rPr>
        <w:t>Sciex</w:t>
      </w:r>
      <w:proofErr w:type="spellEnd"/>
      <w:r w:rsidR="00F13E8B" w:rsidRPr="00F13E8B">
        <w:rPr>
          <w:rFonts w:ascii="Times New Roman" w:hAnsi="Times New Roman" w:cs="Times New Roman"/>
          <w:sz w:val="24"/>
          <w:szCs w:val="24"/>
        </w:rPr>
        <w:t xml:space="preserve">; Redwood City, CA). Data were analyzed using </w:t>
      </w:r>
      <w:proofErr w:type="spellStart"/>
      <w:r w:rsidR="00F13E8B" w:rsidRPr="00F13E8B">
        <w:rPr>
          <w:rFonts w:ascii="Times New Roman" w:hAnsi="Times New Roman" w:cs="Times New Roman"/>
          <w:sz w:val="24"/>
          <w:szCs w:val="24"/>
        </w:rPr>
        <w:t>Multiquant</w:t>
      </w:r>
      <w:proofErr w:type="spellEnd"/>
      <w:r w:rsidR="00F13E8B" w:rsidRPr="00F13E8B">
        <w:rPr>
          <w:rFonts w:ascii="Times New Roman" w:hAnsi="Times New Roman" w:cs="Times New Roman"/>
          <w:sz w:val="24"/>
          <w:szCs w:val="24"/>
        </w:rPr>
        <w:t xml:space="preserve"> 3.0.3 software (</w:t>
      </w:r>
      <w:proofErr w:type="spellStart"/>
      <w:r w:rsidR="00F13E8B" w:rsidRPr="00F13E8B">
        <w:rPr>
          <w:rFonts w:ascii="Times New Roman" w:hAnsi="Times New Roman" w:cs="Times New Roman"/>
          <w:sz w:val="24"/>
          <w:szCs w:val="24"/>
        </w:rPr>
        <w:t>Sciex</w:t>
      </w:r>
      <w:proofErr w:type="spellEnd"/>
      <w:r w:rsidR="00F13E8B" w:rsidRPr="00F13E8B">
        <w:rPr>
          <w:rFonts w:ascii="Times New Roman" w:hAnsi="Times New Roman" w:cs="Times New Roman"/>
          <w:sz w:val="24"/>
          <w:szCs w:val="24"/>
        </w:rPr>
        <w:t xml:space="preserve">; Redwood City, CA).  Residues were quantified against a 9-point calibration curve with internal standard methodologies as previously reported </w:t>
      </w:r>
      <w:r w:rsidR="00AB2939">
        <w:rPr>
          <w:rFonts w:ascii="Times New Roman" w:hAnsi="Times New Roman" w:cs="Times New Roman"/>
          <w:sz w:val="24"/>
          <w:szCs w:val="24"/>
        </w:rPr>
        <w:t>(5).</w:t>
      </w:r>
      <w:r w:rsidR="001422B6">
        <w:rPr>
          <w:rFonts w:ascii="Times New Roman" w:hAnsi="Times New Roman" w:cs="Times New Roman"/>
          <w:sz w:val="24"/>
          <w:szCs w:val="24"/>
        </w:rPr>
        <w:t xml:space="preserve"> </w:t>
      </w:r>
      <w:r w:rsidR="001422B6">
        <w:rPr>
          <w:rFonts w:ascii="Times New Roman" w:eastAsia="Times New Roman" w:hAnsi="Times New Roman" w:cs="Times New Roman"/>
          <w:sz w:val="24"/>
          <w:szCs w:val="24"/>
        </w:rPr>
        <w:t xml:space="preserve">Statistical significance was identified at p=0.05. </w:t>
      </w:r>
    </w:p>
    <w:p w14:paraId="35B541D4" w14:textId="77777777" w:rsidR="00D67B5B" w:rsidRDefault="00D67B5B" w:rsidP="00373E81">
      <w:pPr>
        <w:spacing w:line="240" w:lineRule="auto"/>
        <w:rPr>
          <w:rFonts w:ascii="Times New Roman" w:eastAsia="Times New Roman" w:hAnsi="Times New Roman" w:cs="Times New Roman"/>
          <w:sz w:val="24"/>
          <w:szCs w:val="24"/>
        </w:rPr>
      </w:pPr>
    </w:p>
    <w:p w14:paraId="0B91803D" w14:textId="443B8BF1" w:rsidR="00C46B63" w:rsidRPr="0079080C" w:rsidRDefault="004A6366" w:rsidP="00373E81">
      <w:pPr>
        <w:spacing w:line="240" w:lineRule="auto"/>
        <w:rPr>
          <w:rFonts w:ascii="Times New Roman" w:eastAsia="Times New Roman" w:hAnsi="Times New Roman" w:cs="Times New Roman"/>
          <w:b/>
          <w:bCs/>
          <w:sz w:val="24"/>
          <w:szCs w:val="24"/>
        </w:rPr>
      </w:pPr>
      <w:r w:rsidRPr="00AB2939">
        <w:rPr>
          <w:rFonts w:ascii="Times New Roman" w:eastAsia="Times New Roman" w:hAnsi="Times New Roman" w:cs="Times New Roman"/>
          <w:b/>
          <w:bCs/>
          <w:sz w:val="24"/>
          <w:szCs w:val="24"/>
        </w:rPr>
        <w:t xml:space="preserve">Results: </w:t>
      </w:r>
      <w:r w:rsidR="00B81541">
        <w:rPr>
          <w:rFonts w:ascii="Times New Roman" w:eastAsia="Times New Roman" w:hAnsi="Times New Roman" w:cs="Times New Roman"/>
          <w:sz w:val="24"/>
          <w:szCs w:val="24"/>
        </w:rPr>
        <w:t xml:space="preserve">Pharmacokinetics were similar between </w:t>
      </w:r>
      <w:r w:rsidR="00B81541" w:rsidRPr="00125962">
        <w:rPr>
          <w:rFonts w:ascii="Times New Roman" w:eastAsia="Times New Roman" w:hAnsi="Times New Roman" w:cs="Times New Roman"/>
          <w:i/>
          <w:iCs/>
          <w:sz w:val="24"/>
          <w:szCs w:val="24"/>
        </w:rPr>
        <w:t>t</w:t>
      </w:r>
      <w:r w:rsidR="00B81541" w:rsidRPr="002629AD">
        <w:rPr>
          <w:rFonts w:ascii="Times New Roman" w:eastAsia="Times New Roman" w:hAnsi="Times New Roman" w:cs="Times New Roman"/>
          <w:sz w:val="24"/>
          <w:szCs w:val="24"/>
        </w:rPr>
        <w:t>-</w:t>
      </w:r>
      <w:r w:rsidR="00B81541">
        <w:rPr>
          <w:rFonts w:ascii="Times New Roman" w:eastAsia="Times New Roman" w:hAnsi="Times New Roman" w:cs="Times New Roman"/>
          <w:sz w:val="24"/>
          <w:szCs w:val="24"/>
        </w:rPr>
        <w:t xml:space="preserve">TUCB and TFC treatment (Fig 1). No carryover effect of drug was found between phases, with the 14 days being an adequate wash out period. </w:t>
      </w:r>
      <w:r w:rsidR="00B81541">
        <w:rPr>
          <w:rFonts w:ascii="Times New Roman" w:eastAsia="Times New Roman" w:hAnsi="Times New Roman" w:cs="Times New Roman"/>
          <w:sz w:val="24"/>
          <w:szCs w:val="24"/>
        </w:rPr>
        <w:t xml:space="preserve">Steady state concentration of </w:t>
      </w:r>
      <w:r w:rsidR="004F7A0B">
        <w:rPr>
          <w:rFonts w:ascii="Times New Roman" w:eastAsia="Times New Roman" w:hAnsi="Times New Roman" w:cs="Times New Roman"/>
          <w:i/>
          <w:iCs/>
          <w:sz w:val="24"/>
          <w:szCs w:val="24"/>
        </w:rPr>
        <w:t>t-</w:t>
      </w:r>
      <w:r w:rsidR="00B81541">
        <w:rPr>
          <w:rFonts w:ascii="Times New Roman" w:eastAsia="Times New Roman" w:hAnsi="Times New Roman" w:cs="Times New Roman"/>
          <w:sz w:val="24"/>
          <w:szCs w:val="24"/>
        </w:rPr>
        <w:t xml:space="preserve">TUCB in plasma was reached by 24-48hr. </w:t>
      </w:r>
      <w:r w:rsidR="0023324B">
        <w:rPr>
          <w:rFonts w:ascii="Times New Roman" w:eastAsia="Times New Roman" w:hAnsi="Times New Roman" w:cs="Times New Roman"/>
          <w:sz w:val="24"/>
          <w:szCs w:val="24"/>
        </w:rPr>
        <w:t xml:space="preserve">The </w:t>
      </w:r>
      <w:r w:rsidR="00B81541">
        <w:rPr>
          <w:rFonts w:ascii="Times New Roman" w:eastAsia="Times New Roman" w:hAnsi="Times New Roman" w:cs="Times New Roman"/>
          <w:sz w:val="24"/>
          <w:szCs w:val="24"/>
        </w:rPr>
        <w:t xml:space="preserve">overall steady state </w:t>
      </w:r>
      <w:r w:rsidR="0023324B">
        <w:rPr>
          <w:rFonts w:ascii="Times New Roman" w:eastAsia="Times New Roman" w:hAnsi="Times New Roman" w:cs="Times New Roman"/>
          <w:sz w:val="24"/>
          <w:szCs w:val="24"/>
        </w:rPr>
        <w:t xml:space="preserve">area under the curve (AUC) for </w:t>
      </w:r>
      <w:r w:rsidR="00B81541" w:rsidRPr="00125962">
        <w:rPr>
          <w:rFonts w:ascii="Times New Roman" w:eastAsia="Times New Roman" w:hAnsi="Times New Roman" w:cs="Times New Roman"/>
          <w:i/>
          <w:iCs/>
          <w:sz w:val="24"/>
          <w:szCs w:val="24"/>
        </w:rPr>
        <w:t>t</w:t>
      </w:r>
      <w:r w:rsidR="00B81541" w:rsidRPr="002629AD">
        <w:rPr>
          <w:rFonts w:ascii="Times New Roman" w:eastAsia="Times New Roman" w:hAnsi="Times New Roman" w:cs="Times New Roman"/>
          <w:sz w:val="24"/>
          <w:szCs w:val="24"/>
        </w:rPr>
        <w:t>-</w:t>
      </w:r>
      <w:r w:rsidR="0023324B">
        <w:rPr>
          <w:rFonts w:ascii="Times New Roman" w:eastAsia="Times New Roman" w:hAnsi="Times New Roman" w:cs="Times New Roman"/>
          <w:sz w:val="24"/>
          <w:szCs w:val="24"/>
        </w:rPr>
        <w:t>TUCB</w:t>
      </w:r>
      <w:r w:rsidR="00B81541">
        <w:rPr>
          <w:rFonts w:ascii="Times New Roman" w:eastAsia="Times New Roman" w:hAnsi="Times New Roman" w:cs="Times New Roman"/>
          <w:sz w:val="24"/>
          <w:szCs w:val="24"/>
        </w:rPr>
        <w:t xml:space="preserve"> dosing</w:t>
      </w:r>
      <w:r w:rsidR="00E94707">
        <w:rPr>
          <w:rFonts w:ascii="Times New Roman" w:eastAsia="Times New Roman" w:hAnsi="Times New Roman" w:cs="Times New Roman"/>
          <w:sz w:val="24"/>
          <w:szCs w:val="24"/>
        </w:rPr>
        <w:t xml:space="preserve"> following final dose administration (hour 216-infinity)(AUC</w:t>
      </w:r>
      <w:r w:rsidR="00E94707" w:rsidRPr="00AB2939">
        <w:rPr>
          <w:rFonts w:ascii="Times New Roman" w:eastAsia="Times New Roman" w:hAnsi="Times New Roman" w:cs="Times New Roman"/>
          <w:sz w:val="24"/>
          <w:szCs w:val="24"/>
          <w:vertAlign w:val="subscript"/>
        </w:rPr>
        <w:t>0-∞</w:t>
      </w:r>
      <w:r w:rsidR="00E94707">
        <w:rPr>
          <w:rFonts w:ascii="Times New Roman" w:eastAsia="Times New Roman" w:hAnsi="Times New Roman" w:cs="Times New Roman"/>
          <w:sz w:val="24"/>
          <w:szCs w:val="24"/>
        </w:rPr>
        <w:t>)</w:t>
      </w:r>
      <w:r w:rsidR="0023324B">
        <w:rPr>
          <w:rFonts w:ascii="Times New Roman" w:eastAsia="Times New Roman" w:hAnsi="Times New Roman" w:cs="Times New Roman"/>
          <w:sz w:val="24"/>
          <w:szCs w:val="24"/>
        </w:rPr>
        <w:t xml:space="preserve"> in plasma </w:t>
      </w:r>
      <w:r w:rsidR="0023324B" w:rsidRPr="00B62B18">
        <w:rPr>
          <w:rFonts w:ascii="Times New Roman" w:eastAsia="Times New Roman" w:hAnsi="Times New Roman" w:cs="Times New Roman"/>
          <w:sz w:val="24"/>
          <w:szCs w:val="24"/>
        </w:rPr>
        <w:t xml:space="preserve">was </w:t>
      </w:r>
      <w:r w:rsidR="00E94707">
        <w:rPr>
          <w:rFonts w:ascii="Times New Roman" w:eastAsia="Times New Roman" w:hAnsi="Times New Roman" w:cs="Times New Roman"/>
          <w:sz w:val="24"/>
          <w:szCs w:val="24"/>
        </w:rPr>
        <w:t>20,203.5</w:t>
      </w:r>
      <w:r w:rsidR="00E94707" w:rsidRPr="00B62B18">
        <w:rPr>
          <w:rFonts w:ascii="Times New Roman" w:eastAsia="Times New Roman" w:hAnsi="Times New Roman" w:cs="Times New Roman"/>
          <w:sz w:val="24"/>
          <w:szCs w:val="24"/>
        </w:rPr>
        <w:t xml:space="preserve"> </w:t>
      </w:r>
      <w:r w:rsidR="00B62B18" w:rsidRPr="00B62B18">
        <w:rPr>
          <w:rFonts w:ascii="Times New Roman" w:eastAsia="Times New Roman" w:hAnsi="Times New Roman" w:cs="Times New Roman"/>
          <w:sz w:val="24"/>
          <w:szCs w:val="24"/>
        </w:rPr>
        <w:t>ng/ml*hr</w:t>
      </w:r>
      <w:r w:rsidR="0023324B" w:rsidRPr="00B62B18">
        <w:rPr>
          <w:rFonts w:ascii="Times New Roman" w:eastAsia="Times New Roman" w:hAnsi="Times New Roman" w:cs="Times New Roman"/>
          <w:sz w:val="24"/>
          <w:szCs w:val="24"/>
        </w:rPr>
        <w:t>.</w:t>
      </w:r>
      <w:r w:rsidR="0023324B">
        <w:rPr>
          <w:rFonts w:ascii="Times New Roman" w:eastAsia="Times New Roman" w:hAnsi="Times New Roman" w:cs="Times New Roman"/>
          <w:sz w:val="24"/>
          <w:szCs w:val="24"/>
        </w:rPr>
        <w:t xml:space="preserve"> The maximum concentration </w:t>
      </w:r>
      <w:r w:rsidR="00B81541">
        <w:rPr>
          <w:rFonts w:ascii="Times New Roman" w:eastAsia="Times New Roman" w:hAnsi="Times New Roman" w:cs="Times New Roman"/>
          <w:sz w:val="24"/>
          <w:szCs w:val="24"/>
        </w:rPr>
        <w:t>(</w:t>
      </w:r>
      <w:proofErr w:type="spellStart"/>
      <w:r w:rsidR="00B81541">
        <w:rPr>
          <w:rFonts w:ascii="Times New Roman" w:eastAsia="Times New Roman" w:hAnsi="Times New Roman" w:cs="Times New Roman"/>
          <w:sz w:val="24"/>
          <w:szCs w:val="24"/>
        </w:rPr>
        <w:t>Cmax</w:t>
      </w:r>
      <w:proofErr w:type="spellEnd"/>
      <w:r w:rsidR="00B81541">
        <w:rPr>
          <w:rFonts w:ascii="Times New Roman" w:eastAsia="Times New Roman" w:hAnsi="Times New Roman" w:cs="Times New Roman"/>
          <w:sz w:val="24"/>
          <w:szCs w:val="24"/>
        </w:rPr>
        <w:t xml:space="preserve">) </w:t>
      </w:r>
      <w:r w:rsidR="0023324B">
        <w:rPr>
          <w:rFonts w:ascii="Times New Roman" w:eastAsia="Times New Roman" w:hAnsi="Times New Roman" w:cs="Times New Roman"/>
          <w:sz w:val="24"/>
          <w:szCs w:val="24"/>
        </w:rPr>
        <w:t xml:space="preserve">in plasma was </w:t>
      </w:r>
      <w:r w:rsidR="005C5B53">
        <w:rPr>
          <w:rFonts w:ascii="Times New Roman" w:eastAsia="Times New Roman" w:hAnsi="Times New Roman" w:cs="Times New Roman"/>
          <w:sz w:val="24"/>
          <w:szCs w:val="24"/>
        </w:rPr>
        <w:t>5</w:t>
      </w:r>
      <w:r w:rsidR="00CC6C09">
        <w:rPr>
          <w:rFonts w:ascii="Times New Roman" w:eastAsia="Times New Roman" w:hAnsi="Times New Roman" w:cs="Times New Roman"/>
          <w:sz w:val="24"/>
          <w:szCs w:val="24"/>
        </w:rPr>
        <w:t xml:space="preserve">21 </w:t>
      </w:r>
      <w:r w:rsidR="00C75081">
        <w:rPr>
          <w:rFonts w:ascii="Times New Roman" w:eastAsia="Times New Roman" w:hAnsi="Times New Roman" w:cs="Times New Roman"/>
          <w:sz w:val="24"/>
          <w:szCs w:val="24"/>
        </w:rPr>
        <w:t>ng/ml</w:t>
      </w:r>
      <w:r w:rsidR="0023324B">
        <w:rPr>
          <w:rFonts w:ascii="Times New Roman" w:eastAsia="Times New Roman" w:hAnsi="Times New Roman" w:cs="Times New Roman"/>
          <w:sz w:val="24"/>
          <w:szCs w:val="24"/>
        </w:rPr>
        <w:t xml:space="preserve">, </w:t>
      </w:r>
      <w:r w:rsidR="00B81541">
        <w:rPr>
          <w:rFonts w:ascii="Times New Roman" w:eastAsia="Times New Roman" w:hAnsi="Times New Roman" w:cs="Times New Roman"/>
          <w:sz w:val="24"/>
          <w:szCs w:val="24"/>
        </w:rPr>
        <w:t>at 235.3 hour (</w:t>
      </w:r>
      <w:proofErr w:type="spellStart"/>
      <w:r w:rsidR="00B81541">
        <w:rPr>
          <w:rFonts w:ascii="Times New Roman" w:eastAsia="Times New Roman" w:hAnsi="Times New Roman" w:cs="Times New Roman"/>
          <w:sz w:val="24"/>
          <w:szCs w:val="24"/>
        </w:rPr>
        <w:t>Tmax</w:t>
      </w:r>
      <w:proofErr w:type="spellEnd"/>
      <w:r w:rsidR="00B81541">
        <w:rPr>
          <w:rFonts w:ascii="Times New Roman" w:eastAsia="Times New Roman" w:hAnsi="Times New Roman" w:cs="Times New Roman"/>
          <w:sz w:val="24"/>
          <w:szCs w:val="24"/>
        </w:rPr>
        <w:t>)</w:t>
      </w:r>
      <w:r w:rsidR="0023324B">
        <w:rPr>
          <w:rFonts w:ascii="Times New Roman" w:eastAsia="Times New Roman" w:hAnsi="Times New Roman" w:cs="Times New Roman"/>
          <w:sz w:val="24"/>
          <w:szCs w:val="24"/>
        </w:rPr>
        <w:t xml:space="preserve">. The average </w:t>
      </w:r>
      <w:r w:rsidR="005C5B53">
        <w:rPr>
          <w:rFonts w:ascii="Times New Roman" w:eastAsia="Times New Roman" w:hAnsi="Times New Roman" w:cs="Times New Roman"/>
          <w:sz w:val="24"/>
          <w:szCs w:val="24"/>
        </w:rPr>
        <w:t xml:space="preserve">elimination </w:t>
      </w:r>
      <w:proofErr w:type="spellStart"/>
      <w:r w:rsidR="00867B36">
        <w:rPr>
          <w:rFonts w:ascii="Times New Roman" w:eastAsia="Times New Roman" w:hAnsi="Times New Roman" w:cs="Times New Roman"/>
          <w:sz w:val="24"/>
          <w:szCs w:val="24"/>
        </w:rPr>
        <w:t>half life</w:t>
      </w:r>
      <w:proofErr w:type="spellEnd"/>
      <w:r w:rsidR="00867B36">
        <w:rPr>
          <w:rFonts w:ascii="Times New Roman" w:eastAsia="Times New Roman" w:hAnsi="Times New Roman" w:cs="Times New Roman"/>
          <w:sz w:val="24"/>
          <w:szCs w:val="24"/>
        </w:rPr>
        <w:t xml:space="preserve"> (</w:t>
      </w:r>
      <w:r w:rsidR="0023324B">
        <w:rPr>
          <w:rFonts w:ascii="Times New Roman" w:eastAsia="Times New Roman" w:hAnsi="Times New Roman" w:cs="Times New Roman"/>
          <w:sz w:val="24"/>
          <w:szCs w:val="24"/>
        </w:rPr>
        <w:t>T</w:t>
      </w:r>
      <w:r w:rsidR="0023324B">
        <w:rPr>
          <w:rFonts w:ascii="Times New Roman" w:eastAsia="Times New Roman" w:hAnsi="Times New Roman" w:cs="Times New Roman"/>
          <w:sz w:val="24"/>
          <w:szCs w:val="24"/>
          <w:vertAlign w:val="subscript"/>
        </w:rPr>
        <w:t>1/2</w:t>
      </w:r>
      <w:r w:rsidR="00867B36">
        <w:rPr>
          <w:rFonts w:ascii="Times New Roman" w:eastAsia="Times New Roman" w:hAnsi="Times New Roman" w:cs="Times New Roman"/>
          <w:sz w:val="24"/>
          <w:szCs w:val="24"/>
        </w:rPr>
        <w:t>)</w:t>
      </w:r>
      <w:r w:rsidR="0023324B">
        <w:rPr>
          <w:rFonts w:ascii="Times New Roman" w:eastAsia="Times New Roman" w:hAnsi="Times New Roman" w:cs="Times New Roman"/>
          <w:sz w:val="24"/>
          <w:szCs w:val="24"/>
          <w:vertAlign w:val="subscript"/>
        </w:rPr>
        <w:t xml:space="preserve"> </w:t>
      </w:r>
      <w:r w:rsidR="0023324B">
        <w:rPr>
          <w:rFonts w:ascii="Times New Roman" w:eastAsia="Times New Roman" w:hAnsi="Times New Roman" w:cs="Times New Roman"/>
          <w:sz w:val="24"/>
          <w:szCs w:val="24"/>
        </w:rPr>
        <w:lastRenderedPageBreak/>
        <w:t xml:space="preserve">was </w:t>
      </w:r>
      <w:r w:rsidR="00CC6C09">
        <w:rPr>
          <w:rFonts w:ascii="Times New Roman" w:eastAsia="Times New Roman" w:hAnsi="Times New Roman" w:cs="Times New Roman"/>
          <w:sz w:val="24"/>
          <w:szCs w:val="24"/>
        </w:rPr>
        <w:t>35.2</w:t>
      </w:r>
      <w:r w:rsidR="005C5B53">
        <w:rPr>
          <w:rFonts w:ascii="Times New Roman" w:eastAsia="Times New Roman" w:hAnsi="Times New Roman" w:cs="Times New Roman"/>
          <w:sz w:val="24"/>
          <w:szCs w:val="24"/>
        </w:rPr>
        <w:t xml:space="preserve"> </w:t>
      </w:r>
      <w:proofErr w:type="spellStart"/>
      <w:r w:rsidR="0023324B">
        <w:rPr>
          <w:rFonts w:ascii="Times New Roman" w:eastAsia="Times New Roman" w:hAnsi="Times New Roman" w:cs="Times New Roman"/>
          <w:sz w:val="24"/>
          <w:szCs w:val="24"/>
        </w:rPr>
        <w:t>hr</w:t>
      </w:r>
      <w:proofErr w:type="spellEnd"/>
      <w:r w:rsidR="00B81541">
        <w:rPr>
          <w:rFonts w:ascii="Times New Roman" w:eastAsia="Times New Roman" w:hAnsi="Times New Roman" w:cs="Times New Roman"/>
          <w:sz w:val="24"/>
          <w:szCs w:val="24"/>
        </w:rPr>
        <w:t xml:space="preserve"> following final dosing</w:t>
      </w:r>
      <w:r w:rsidR="0023324B">
        <w:rPr>
          <w:rFonts w:ascii="Times New Roman" w:eastAsia="Times New Roman" w:hAnsi="Times New Roman" w:cs="Times New Roman"/>
          <w:sz w:val="24"/>
          <w:szCs w:val="24"/>
        </w:rPr>
        <w:t xml:space="preserve">. </w:t>
      </w:r>
      <w:r w:rsidR="00DB36DB">
        <w:rPr>
          <w:rFonts w:ascii="Times New Roman" w:eastAsia="Times New Roman" w:hAnsi="Times New Roman" w:cs="Times New Roman"/>
          <w:sz w:val="24"/>
          <w:szCs w:val="24"/>
        </w:rPr>
        <w:t xml:space="preserve"> </w:t>
      </w:r>
      <w:r w:rsidR="000F7DAF">
        <w:rPr>
          <w:rFonts w:ascii="Times New Roman" w:eastAsia="Times New Roman" w:hAnsi="Times New Roman" w:cs="Times New Roman"/>
          <w:i/>
          <w:iCs/>
          <w:sz w:val="24"/>
          <w:szCs w:val="24"/>
        </w:rPr>
        <w:t>t</w:t>
      </w:r>
      <w:r w:rsidR="000F7DAF">
        <w:rPr>
          <w:rFonts w:ascii="Times New Roman" w:eastAsia="Times New Roman" w:hAnsi="Times New Roman" w:cs="Times New Roman"/>
          <w:sz w:val="24"/>
          <w:szCs w:val="24"/>
        </w:rPr>
        <w:t>-TUCB reached measurable concentrations</w:t>
      </w:r>
      <w:r w:rsidR="005C5B53">
        <w:rPr>
          <w:rFonts w:ascii="Times New Roman" w:eastAsia="Times New Roman" w:hAnsi="Times New Roman" w:cs="Times New Roman"/>
          <w:sz w:val="24"/>
          <w:szCs w:val="24"/>
        </w:rPr>
        <w:t xml:space="preserve">, average 150ng/ml of </w:t>
      </w:r>
      <w:r w:rsidR="004F6CFC" w:rsidRPr="00125962">
        <w:rPr>
          <w:rFonts w:ascii="Times New Roman" w:eastAsia="Times New Roman" w:hAnsi="Times New Roman" w:cs="Times New Roman"/>
          <w:i/>
          <w:iCs/>
          <w:sz w:val="24"/>
          <w:szCs w:val="24"/>
        </w:rPr>
        <w:t>t</w:t>
      </w:r>
      <w:r w:rsidR="004F6CFC" w:rsidRPr="002629AD">
        <w:rPr>
          <w:rFonts w:ascii="Times New Roman" w:eastAsia="Times New Roman" w:hAnsi="Times New Roman" w:cs="Times New Roman"/>
          <w:sz w:val="24"/>
          <w:szCs w:val="24"/>
        </w:rPr>
        <w:t>-</w:t>
      </w:r>
      <w:r w:rsidR="005C5B53">
        <w:rPr>
          <w:rFonts w:ascii="Times New Roman" w:eastAsia="Times New Roman" w:hAnsi="Times New Roman" w:cs="Times New Roman"/>
          <w:sz w:val="24"/>
          <w:szCs w:val="24"/>
        </w:rPr>
        <w:t>TUCB</w:t>
      </w:r>
      <w:r w:rsidR="004F6CFC">
        <w:rPr>
          <w:rFonts w:ascii="Times New Roman" w:eastAsia="Times New Roman" w:hAnsi="Times New Roman" w:cs="Times New Roman"/>
          <w:sz w:val="24"/>
          <w:szCs w:val="24"/>
        </w:rPr>
        <w:t>,</w:t>
      </w:r>
      <w:r w:rsidR="005C5B53">
        <w:rPr>
          <w:rFonts w:ascii="Times New Roman" w:eastAsia="Times New Roman" w:hAnsi="Times New Roman" w:cs="Times New Roman"/>
          <w:sz w:val="24"/>
          <w:szCs w:val="24"/>
        </w:rPr>
        <w:t xml:space="preserve"> </w:t>
      </w:r>
      <w:r w:rsidR="000F7DAF">
        <w:rPr>
          <w:rFonts w:ascii="Times New Roman" w:eastAsia="Times New Roman" w:hAnsi="Times New Roman" w:cs="Times New Roman"/>
          <w:sz w:val="24"/>
          <w:szCs w:val="24"/>
        </w:rPr>
        <w:t>in synovial fluid</w:t>
      </w:r>
      <w:r w:rsidR="004F6CFC">
        <w:rPr>
          <w:rFonts w:ascii="Times New Roman" w:eastAsia="Times New Roman" w:hAnsi="Times New Roman" w:cs="Times New Roman"/>
          <w:sz w:val="24"/>
          <w:szCs w:val="24"/>
        </w:rPr>
        <w:t xml:space="preserve"> </w:t>
      </w:r>
      <w:r w:rsidR="00AB232F">
        <w:rPr>
          <w:rFonts w:ascii="Times New Roman" w:eastAsia="Times New Roman" w:hAnsi="Times New Roman" w:cs="Times New Roman"/>
          <w:sz w:val="24"/>
          <w:szCs w:val="24"/>
        </w:rPr>
        <w:t xml:space="preserve">following </w:t>
      </w:r>
      <w:r w:rsidR="00AB232F" w:rsidRPr="00125962">
        <w:rPr>
          <w:rFonts w:ascii="Times New Roman" w:eastAsia="Times New Roman" w:hAnsi="Times New Roman" w:cs="Times New Roman"/>
          <w:i/>
          <w:iCs/>
          <w:sz w:val="24"/>
          <w:szCs w:val="24"/>
        </w:rPr>
        <w:t>t</w:t>
      </w:r>
      <w:r w:rsidR="00AB232F" w:rsidRPr="002629AD">
        <w:rPr>
          <w:rFonts w:ascii="Times New Roman" w:eastAsia="Times New Roman" w:hAnsi="Times New Roman" w:cs="Times New Roman"/>
          <w:sz w:val="24"/>
          <w:szCs w:val="24"/>
        </w:rPr>
        <w:t>-</w:t>
      </w:r>
      <w:r w:rsidR="00AB232F">
        <w:rPr>
          <w:rFonts w:ascii="Times New Roman" w:eastAsia="Times New Roman" w:hAnsi="Times New Roman" w:cs="Times New Roman"/>
          <w:sz w:val="24"/>
          <w:szCs w:val="24"/>
        </w:rPr>
        <w:t xml:space="preserve">TUCB or TFC administration </w:t>
      </w:r>
      <w:r w:rsidR="004F6CFC">
        <w:rPr>
          <w:rFonts w:ascii="Times New Roman" w:eastAsia="Times New Roman" w:hAnsi="Times New Roman" w:cs="Times New Roman"/>
          <w:sz w:val="24"/>
          <w:szCs w:val="24"/>
        </w:rPr>
        <w:t>with a significant increase in synovial fluid following drug administration</w:t>
      </w:r>
      <w:r w:rsidR="00AB232F">
        <w:rPr>
          <w:rFonts w:ascii="Times New Roman" w:eastAsia="Times New Roman" w:hAnsi="Times New Roman" w:cs="Times New Roman"/>
          <w:sz w:val="24"/>
          <w:szCs w:val="24"/>
        </w:rPr>
        <w:t xml:space="preserve"> (p&lt;0.0001)(Fig 2)</w:t>
      </w:r>
      <w:r w:rsidR="000F7DAF">
        <w:rPr>
          <w:rFonts w:ascii="Times New Roman" w:eastAsia="Times New Roman" w:hAnsi="Times New Roman" w:cs="Times New Roman"/>
          <w:sz w:val="24"/>
          <w:szCs w:val="24"/>
        </w:rPr>
        <w:t xml:space="preserve">. </w:t>
      </w:r>
    </w:p>
    <w:p w14:paraId="18C25C15" w14:textId="77777777" w:rsidR="002355AA" w:rsidRDefault="002355AA" w:rsidP="00373E81">
      <w:pPr>
        <w:spacing w:line="240" w:lineRule="auto"/>
        <w:rPr>
          <w:rFonts w:ascii="Times New Roman" w:eastAsia="Times New Roman" w:hAnsi="Times New Roman" w:cs="Times New Roman"/>
          <w:sz w:val="24"/>
          <w:szCs w:val="24"/>
        </w:rPr>
      </w:pPr>
    </w:p>
    <w:p w14:paraId="749767C4" w14:textId="6194E900" w:rsidR="0080631A" w:rsidRPr="0079080C" w:rsidRDefault="004A6366" w:rsidP="00373E81">
      <w:pPr>
        <w:spacing w:line="240" w:lineRule="auto"/>
        <w:rPr>
          <w:rFonts w:ascii="Times New Roman" w:eastAsia="Times New Roman" w:hAnsi="Times New Roman" w:cs="Times New Roman"/>
          <w:b/>
          <w:bCs/>
          <w:sz w:val="24"/>
          <w:szCs w:val="24"/>
        </w:rPr>
      </w:pPr>
      <w:r w:rsidRPr="00AB2939">
        <w:rPr>
          <w:rFonts w:ascii="Times New Roman" w:eastAsia="Times New Roman" w:hAnsi="Times New Roman" w:cs="Times New Roman"/>
          <w:b/>
          <w:bCs/>
          <w:sz w:val="24"/>
          <w:szCs w:val="24"/>
        </w:rPr>
        <w:t>Conclusion</w:t>
      </w:r>
      <w:r w:rsidR="00E94707">
        <w:rPr>
          <w:rFonts w:ascii="Times New Roman" w:eastAsia="Times New Roman" w:hAnsi="Times New Roman" w:cs="Times New Roman"/>
          <w:b/>
          <w:bCs/>
          <w:sz w:val="24"/>
          <w:szCs w:val="24"/>
        </w:rPr>
        <w:t>:</w:t>
      </w:r>
      <w:r w:rsidR="0079080C">
        <w:rPr>
          <w:rFonts w:ascii="Times New Roman" w:eastAsia="Times New Roman" w:hAnsi="Times New Roman" w:cs="Times New Roman"/>
          <w:b/>
          <w:bCs/>
          <w:sz w:val="24"/>
          <w:szCs w:val="24"/>
        </w:rPr>
        <w:t xml:space="preserve"> </w:t>
      </w:r>
      <w:r w:rsidR="00C9283B">
        <w:rPr>
          <w:rFonts w:ascii="Times New Roman" w:eastAsia="Times New Roman" w:hAnsi="Times New Roman" w:cs="Times New Roman"/>
          <w:sz w:val="24"/>
          <w:szCs w:val="24"/>
        </w:rPr>
        <w:t xml:space="preserve">The sEH inhibitor, </w:t>
      </w:r>
      <w:r w:rsidR="00C9283B">
        <w:rPr>
          <w:rFonts w:ascii="Times New Roman" w:eastAsia="Times New Roman" w:hAnsi="Times New Roman" w:cs="Times New Roman"/>
          <w:i/>
          <w:iCs/>
          <w:sz w:val="24"/>
          <w:szCs w:val="24"/>
        </w:rPr>
        <w:t>t-</w:t>
      </w:r>
      <w:r w:rsidR="00C9283B">
        <w:rPr>
          <w:rFonts w:ascii="Times New Roman" w:eastAsia="Times New Roman" w:hAnsi="Times New Roman" w:cs="Times New Roman"/>
          <w:sz w:val="24"/>
          <w:szCs w:val="24"/>
        </w:rPr>
        <w:t xml:space="preserve">TUCB, has a </w:t>
      </w:r>
      <w:r w:rsidR="00AB232F">
        <w:rPr>
          <w:rFonts w:ascii="Times New Roman" w:eastAsia="Times New Roman" w:hAnsi="Times New Roman" w:cs="Times New Roman"/>
          <w:sz w:val="24"/>
          <w:szCs w:val="24"/>
        </w:rPr>
        <w:t xml:space="preserve">more </w:t>
      </w:r>
      <w:r w:rsidR="00C9283B">
        <w:rPr>
          <w:rFonts w:ascii="Times New Roman" w:eastAsia="Times New Roman" w:hAnsi="Times New Roman" w:cs="Times New Roman"/>
          <w:sz w:val="24"/>
          <w:szCs w:val="24"/>
        </w:rPr>
        <w:t xml:space="preserve">prolonged </w:t>
      </w:r>
      <w:r w:rsidR="00AB232F">
        <w:rPr>
          <w:rFonts w:ascii="Times New Roman" w:eastAsia="Times New Roman" w:hAnsi="Times New Roman" w:cs="Times New Roman"/>
          <w:sz w:val="24"/>
          <w:szCs w:val="24"/>
        </w:rPr>
        <w:t xml:space="preserve">elimination </w:t>
      </w:r>
      <w:r w:rsidR="00C9283B">
        <w:rPr>
          <w:rFonts w:ascii="Times New Roman" w:eastAsia="Times New Roman" w:hAnsi="Times New Roman" w:cs="Times New Roman"/>
          <w:sz w:val="24"/>
          <w:szCs w:val="24"/>
        </w:rPr>
        <w:t>half-life following multi-dose oral administration in horses</w:t>
      </w:r>
      <w:r w:rsidR="00AB232F">
        <w:rPr>
          <w:rFonts w:ascii="Times New Roman" w:eastAsia="Times New Roman" w:hAnsi="Times New Roman" w:cs="Times New Roman"/>
          <w:sz w:val="24"/>
          <w:szCs w:val="24"/>
        </w:rPr>
        <w:t xml:space="preserve"> compared to prior single dose pharmacokinetics</w:t>
      </w:r>
      <w:r w:rsidR="00C9283B">
        <w:rPr>
          <w:rFonts w:ascii="Times New Roman" w:eastAsia="Times New Roman" w:hAnsi="Times New Roman" w:cs="Times New Roman"/>
          <w:sz w:val="24"/>
          <w:szCs w:val="24"/>
        </w:rPr>
        <w:t xml:space="preserve">. </w:t>
      </w:r>
      <w:r w:rsidR="003B1A8D">
        <w:rPr>
          <w:rFonts w:ascii="Times New Roman" w:eastAsia="Times New Roman" w:hAnsi="Times New Roman" w:cs="Times New Roman"/>
          <w:sz w:val="24"/>
          <w:szCs w:val="24"/>
        </w:rPr>
        <w:t xml:space="preserve">A previous </w:t>
      </w:r>
      <w:r w:rsidR="00FD00D5">
        <w:rPr>
          <w:rFonts w:ascii="Times New Roman" w:eastAsia="Times New Roman" w:hAnsi="Times New Roman" w:cs="Times New Roman"/>
          <w:sz w:val="24"/>
          <w:szCs w:val="24"/>
        </w:rPr>
        <w:t xml:space="preserve">equine </w:t>
      </w:r>
      <w:r w:rsidR="003B1A8D">
        <w:rPr>
          <w:rFonts w:ascii="Times New Roman" w:eastAsia="Times New Roman" w:hAnsi="Times New Roman" w:cs="Times New Roman"/>
          <w:sz w:val="24"/>
          <w:szCs w:val="24"/>
        </w:rPr>
        <w:t xml:space="preserve">study </w:t>
      </w:r>
      <w:r w:rsidR="00E10A8D">
        <w:rPr>
          <w:rFonts w:ascii="Times New Roman" w:eastAsia="Times New Roman" w:hAnsi="Times New Roman" w:cs="Times New Roman"/>
          <w:sz w:val="24"/>
          <w:szCs w:val="24"/>
        </w:rPr>
        <w:t xml:space="preserve">reported </w:t>
      </w:r>
      <w:r w:rsidR="003B1A8D">
        <w:rPr>
          <w:rFonts w:ascii="Times New Roman" w:eastAsia="Times New Roman" w:hAnsi="Times New Roman" w:cs="Times New Roman"/>
          <w:sz w:val="24"/>
          <w:szCs w:val="24"/>
        </w:rPr>
        <w:t xml:space="preserve">single dose oral </w:t>
      </w:r>
      <w:r w:rsidR="007D476C">
        <w:rPr>
          <w:rFonts w:ascii="Times New Roman" w:eastAsia="Times New Roman" w:hAnsi="Times New Roman" w:cs="Times New Roman"/>
          <w:i/>
          <w:iCs/>
          <w:sz w:val="24"/>
          <w:szCs w:val="24"/>
        </w:rPr>
        <w:t>t-</w:t>
      </w:r>
      <w:r w:rsidR="003B1A8D">
        <w:rPr>
          <w:rFonts w:ascii="Times New Roman" w:eastAsia="Times New Roman" w:hAnsi="Times New Roman" w:cs="Times New Roman"/>
          <w:sz w:val="24"/>
          <w:szCs w:val="24"/>
        </w:rPr>
        <w:t>TUCB half-life of</w:t>
      </w:r>
      <w:r w:rsidR="00E10A8D">
        <w:rPr>
          <w:rFonts w:ascii="Times New Roman" w:eastAsia="Times New Roman" w:hAnsi="Times New Roman" w:cs="Times New Roman"/>
          <w:sz w:val="24"/>
          <w:szCs w:val="24"/>
        </w:rPr>
        <w:t xml:space="preserve"> 18</w:t>
      </w:r>
      <w:r w:rsidR="00FA083E">
        <w:rPr>
          <w:rFonts w:ascii="Times New Roman" w:eastAsia="Times New Roman" w:hAnsi="Times New Roman" w:cs="Times New Roman"/>
          <w:sz w:val="24"/>
          <w:szCs w:val="24"/>
        </w:rPr>
        <w:t xml:space="preserve"> hours</w:t>
      </w:r>
      <w:r w:rsidR="00E10A8D">
        <w:rPr>
          <w:rFonts w:ascii="Times New Roman" w:eastAsia="Times New Roman" w:hAnsi="Times New Roman" w:cs="Times New Roman"/>
          <w:sz w:val="24"/>
          <w:szCs w:val="24"/>
        </w:rPr>
        <w:t xml:space="preserve"> </w:t>
      </w:r>
      <w:r w:rsidR="00405B08">
        <w:rPr>
          <w:rFonts w:ascii="Times New Roman" w:eastAsia="Times New Roman" w:hAnsi="Times New Roman" w:cs="Times New Roman"/>
          <w:sz w:val="24"/>
          <w:szCs w:val="24"/>
        </w:rPr>
        <w:t>(</w:t>
      </w:r>
      <w:r w:rsidR="00381C07">
        <w:rPr>
          <w:rFonts w:ascii="Times New Roman" w:eastAsia="Times New Roman" w:hAnsi="Times New Roman" w:cs="Times New Roman"/>
          <w:sz w:val="24"/>
          <w:szCs w:val="24"/>
        </w:rPr>
        <w:t>4</w:t>
      </w:r>
      <w:r w:rsidR="00405B08">
        <w:rPr>
          <w:rFonts w:ascii="Times New Roman" w:eastAsia="Times New Roman" w:hAnsi="Times New Roman" w:cs="Times New Roman"/>
          <w:sz w:val="24"/>
          <w:szCs w:val="24"/>
        </w:rPr>
        <w:t>)</w:t>
      </w:r>
      <w:r w:rsidR="003B1A8D">
        <w:rPr>
          <w:rFonts w:ascii="Times New Roman" w:eastAsia="Times New Roman" w:hAnsi="Times New Roman" w:cs="Times New Roman"/>
          <w:sz w:val="24"/>
          <w:szCs w:val="24"/>
        </w:rPr>
        <w:t xml:space="preserve">, as compared </w:t>
      </w:r>
      <w:r w:rsidR="00E10A8D">
        <w:rPr>
          <w:rFonts w:ascii="Times New Roman" w:eastAsia="Times New Roman" w:hAnsi="Times New Roman" w:cs="Times New Roman"/>
          <w:sz w:val="24"/>
          <w:szCs w:val="24"/>
        </w:rPr>
        <w:t xml:space="preserve">to </w:t>
      </w:r>
      <w:r w:rsidR="00FA083E">
        <w:rPr>
          <w:rFonts w:ascii="Times New Roman" w:eastAsia="Times New Roman" w:hAnsi="Times New Roman" w:cs="Times New Roman"/>
          <w:sz w:val="24"/>
          <w:szCs w:val="24"/>
        </w:rPr>
        <w:t>3</w:t>
      </w:r>
      <w:r w:rsidR="00381C07">
        <w:rPr>
          <w:rFonts w:ascii="Times New Roman" w:eastAsia="Times New Roman" w:hAnsi="Times New Roman" w:cs="Times New Roman"/>
          <w:sz w:val="24"/>
          <w:szCs w:val="24"/>
        </w:rPr>
        <w:t>5.2</w:t>
      </w:r>
      <w:r w:rsidR="00FA083E">
        <w:rPr>
          <w:rFonts w:ascii="Times New Roman" w:eastAsia="Times New Roman" w:hAnsi="Times New Roman" w:cs="Times New Roman"/>
          <w:sz w:val="24"/>
          <w:szCs w:val="24"/>
        </w:rPr>
        <w:t xml:space="preserve"> hours</w:t>
      </w:r>
      <w:r w:rsidR="00E10A8D">
        <w:rPr>
          <w:rFonts w:ascii="Times New Roman" w:eastAsia="Times New Roman" w:hAnsi="Times New Roman" w:cs="Times New Roman"/>
          <w:sz w:val="24"/>
          <w:szCs w:val="24"/>
        </w:rPr>
        <w:t xml:space="preserve"> following multi-dose</w:t>
      </w:r>
      <w:r w:rsidR="00405B08">
        <w:rPr>
          <w:rFonts w:ascii="Times New Roman" w:eastAsia="Times New Roman" w:hAnsi="Times New Roman" w:cs="Times New Roman"/>
          <w:sz w:val="24"/>
          <w:szCs w:val="24"/>
        </w:rPr>
        <w:t xml:space="preserve"> administration</w:t>
      </w:r>
      <w:r w:rsidR="00AB232F">
        <w:rPr>
          <w:rFonts w:ascii="Times New Roman" w:eastAsia="Times New Roman" w:hAnsi="Times New Roman" w:cs="Times New Roman"/>
          <w:sz w:val="24"/>
          <w:szCs w:val="24"/>
        </w:rPr>
        <w:t xml:space="preserve"> in the current study</w:t>
      </w:r>
      <w:r w:rsidR="00405B08">
        <w:rPr>
          <w:rFonts w:ascii="Times New Roman" w:eastAsia="Times New Roman" w:hAnsi="Times New Roman" w:cs="Times New Roman"/>
          <w:sz w:val="24"/>
          <w:szCs w:val="24"/>
        </w:rPr>
        <w:t>.</w:t>
      </w:r>
      <w:r w:rsidR="00E10A8D">
        <w:rPr>
          <w:rFonts w:ascii="Times New Roman" w:eastAsia="Times New Roman" w:hAnsi="Times New Roman" w:cs="Times New Roman"/>
          <w:sz w:val="24"/>
          <w:szCs w:val="24"/>
        </w:rPr>
        <w:t xml:space="preserve"> </w:t>
      </w:r>
      <w:r w:rsidR="00381C07">
        <w:rPr>
          <w:rFonts w:ascii="Times New Roman" w:eastAsia="Times New Roman" w:hAnsi="Times New Roman" w:cs="Times New Roman"/>
          <w:sz w:val="24"/>
          <w:szCs w:val="24"/>
        </w:rPr>
        <w:t>McReynolds in 2019 reported no difference in half-life based on singe or multi-dose administration</w:t>
      </w:r>
      <w:r w:rsidR="00AB232F">
        <w:rPr>
          <w:rFonts w:ascii="Times New Roman" w:eastAsia="Times New Roman" w:hAnsi="Times New Roman" w:cs="Times New Roman"/>
          <w:sz w:val="24"/>
          <w:szCs w:val="24"/>
        </w:rPr>
        <w:t xml:space="preserve"> in canines</w:t>
      </w:r>
      <w:r w:rsidR="00381C07">
        <w:rPr>
          <w:rFonts w:ascii="Times New Roman" w:eastAsia="Times New Roman" w:hAnsi="Times New Roman" w:cs="Times New Roman"/>
          <w:sz w:val="24"/>
          <w:szCs w:val="24"/>
        </w:rPr>
        <w:t xml:space="preserve">. </w:t>
      </w:r>
      <w:r w:rsidR="00FA083E">
        <w:rPr>
          <w:rFonts w:ascii="Times New Roman" w:eastAsia="Times New Roman" w:hAnsi="Times New Roman" w:cs="Times New Roman"/>
          <w:sz w:val="24"/>
          <w:szCs w:val="24"/>
        </w:rPr>
        <w:t xml:space="preserve">No </w:t>
      </w:r>
      <w:r w:rsidR="00AB232F">
        <w:rPr>
          <w:rFonts w:ascii="Times New Roman" w:eastAsia="Times New Roman" w:hAnsi="Times New Roman" w:cs="Times New Roman"/>
          <w:sz w:val="24"/>
          <w:szCs w:val="24"/>
        </w:rPr>
        <w:t>drug carryover</w:t>
      </w:r>
      <w:r w:rsidR="00FA083E">
        <w:rPr>
          <w:rFonts w:ascii="Times New Roman" w:eastAsia="Times New Roman" w:hAnsi="Times New Roman" w:cs="Times New Roman"/>
          <w:sz w:val="24"/>
          <w:szCs w:val="24"/>
        </w:rPr>
        <w:t xml:space="preserve"> was noted, confirming 2 weeks is ample time for complete washout of the </w:t>
      </w:r>
      <w:r w:rsidR="00FA083E">
        <w:rPr>
          <w:rFonts w:ascii="Times New Roman" w:eastAsia="Times New Roman" w:hAnsi="Times New Roman" w:cs="Times New Roman"/>
          <w:i/>
          <w:iCs/>
          <w:sz w:val="24"/>
          <w:szCs w:val="24"/>
        </w:rPr>
        <w:t>t-</w:t>
      </w:r>
      <w:r w:rsidR="00FA083E">
        <w:rPr>
          <w:rFonts w:ascii="Times New Roman" w:eastAsia="Times New Roman" w:hAnsi="Times New Roman" w:cs="Times New Roman"/>
          <w:sz w:val="24"/>
          <w:szCs w:val="24"/>
        </w:rPr>
        <w:t xml:space="preserve">TUCB, and that any perceived </w:t>
      </w:r>
      <w:r w:rsidR="00AB232F">
        <w:rPr>
          <w:rFonts w:ascii="Times New Roman" w:eastAsia="Times New Roman" w:hAnsi="Times New Roman" w:cs="Times New Roman"/>
          <w:sz w:val="24"/>
          <w:szCs w:val="24"/>
        </w:rPr>
        <w:t xml:space="preserve">clinical </w:t>
      </w:r>
      <w:r w:rsidR="00FA083E">
        <w:rPr>
          <w:rFonts w:ascii="Times New Roman" w:eastAsia="Times New Roman" w:hAnsi="Times New Roman" w:cs="Times New Roman"/>
          <w:sz w:val="24"/>
          <w:szCs w:val="24"/>
        </w:rPr>
        <w:t xml:space="preserve">carryover effect from the parent study is not related to remaining drug following wash out. </w:t>
      </w:r>
      <w:r w:rsidR="00FD00D5">
        <w:rPr>
          <w:rFonts w:ascii="Times New Roman" w:eastAsia="Times New Roman" w:hAnsi="Times New Roman" w:cs="Times New Roman"/>
          <w:sz w:val="24"/>
          <w:szCs w:val="24"/>
        </w:rPr>
        <w:t xml:space="preserve">The joints analyzed in the study were chronically affected, </w:t>
      </w:r>
      <w:r w:rsidR="008274DA">
        <w:rPr>
          <w:rFonts w:ascii="Times New Roman" w:eastAsia="Times New Roman" w:hAnsi="Times New Roman" w:cs="Times New Roman"/>
          <w:sz w:val="24"/>
          <w:szCs w:val="24"/>
        </w:rPr>
        <w:t xml:space="preserve">with lower levels of active inflammation </w:t>
      </w:r>
      <w:r w:rsidR="00FD00D5">
        <w:rPr>
          <w:rFonts w:ascii="Times New Roman" w:eastAsia="Times New Roman" w:hAnsi="Times New Roman" w:cs="Times New Roman"/>
          <w:sz w:val="24"/>
          <w:szCs w:val="24"/>
        </w:rPr>
        <w:t xml:space="preserve">when compared to induced models. Guedes reported that </w:t>
      </w:r>
      <w:r w:rsidR="000F7DAF">
        <w:rPr>
          <w:rFonts w:ascii="Times New Roman" w:eastAsia="Times New Roman" w:hAnsi="Times New Roman" w:cs="Times New Roman"/>
          <w:i/>
          <w:iCs/>
          <w:sz w:val="24"/>
          <w:szCs w:val="24"/>
        </w:rPr>
        <w:t>t-</w:t>
      </w:r>
      <w:r w:rsidR="000F7DAF">
        <w:rPr>
          <w:rFonts w:ascii="Times New Roman" w:eastAsia="Times New Roman" w:hAnsi="Times New Roman" w:cs="Times New Roman"/>
          <w:sz w:val="24"/>
          <w:szCs w:val="24"/>
        </w:rPr>
        <w:t xml:space="preserve">TUCB </w:t>
      </w:r>
      <w:r w:rsidR="00FD00D5">
        <w:rPr>
          <w:rFonts w:ascii="Times New Roman" w:eastAsia="Times New Roman" w:hAnsi="Times New Roman" w:cs="Times New Roman"/>
          <w:sz w:val="24"/>
          <w:szCs w:val="24"/>
        </w:rPr>
        <w:t>was found at significantly higher concentrations in inflamed joints</w:t>
      </w:r>
      <w:r w:rsidR="008274DA">
        <w:rPr>
          <w:rFonts w:ascii="Times New Roman" w:eastAsia="Times New Roman" w:hAnsi="Times New Roman" w:cs="Times New Roman"/>
          <w:sz w:val="24"/>
          <w:szCs w:val="24"/>
        </w:rPr>
        <w:t xml:space="preserve"> (1000ng/ml) with non-inflamed joints reaching &gt;100ng/ml</w:t>
      </w:r>
      <w:r w:rsidR="00FD00D5">
        <w:rPr>
          <w:rFonts w:ascii="Times New Roman" w:eastAsia="Times New Roman" w:hAnsi="Times New Roman" w:cs="Times New Roman"/>
          <w:sz w:val="24"/>
          <w:szCs w:val="24"/>
        </w:rPr>
        <w:t xml:space="preserve">. Our data indicates </w:t>
      </w:r>
      <w:r w:rsidR="000F7DAF">
        <w:rPr>
          <w:rFonts w:ascii="Times New Roman" w:eastAsia="Times New Roman" w:hAnsi="Times New Roman" w:cs="Times New Roman"/>
          <w:sz w:val="24"/>
          <w:szCs w:val="24"/>
        </w:rPr>
        <w:t xml:space="preserve">concentrations </w:t>
      </w:r>
      <w:r w:rsidR="00FD00D5">
        <w:rPr>
          <w:rFonts w:ascii="Times New Roman" w:eastAsia="Times New Roman" w:hAnsi="Times New Roman" w:cs="Times New Roman"/>
          <w:sz w:val="24"/>
          <w:szCs w:val="24"/>
        </w:rPr>
        <w:t xml:space="preserve">of </w:t>
      </w:r>
      <w:r w:rsidR="00FD00D5" w:rsidRPr="00F929F5">
        <w:rPr>
          <w:rFonts w:ascii="Times New Roman" w:eastAsia="Times New Roman" w:hAnsi="Times New Roman" w:cs="Times New Roman"/>
          <w:i/>
          <w:iCs/>
          <w:sz w:val="24"/>
          <w:szCs w:val="24"/>
        </w:rPr>
        <w:t>t</w:t>
      </w:r>
      <w:r w:rsidR="00FD00D5">
        <w:rPr>
          <w:rFonts w:ascii="Times New Roman" w:eastAsia="Times New Roman" w:hAnsi="Times New Roman" w:cs="Times New Roman"/>
          <w:sz w:val="24"/>
          <w:szCs w:val="24"/>
        </w:rPr>
        <w:t>-TUCB withi</w:t>
      </w:r>
      <w:r w:rsidR="000F7DAF">
        <w:rPr>
          <w:rFonts w:ascii="Times New Roman" w:eastAsia="Times New Roman" w:hAnsi="Times New Roman" w:cs="Times New Roman"/>
          <w:sz w:val="24"/>
          <w:szCs w:val="24"/>
        </w:rPr>
        <w:t xml:space="preserve">n joints with limited inflammation </w:t>
      </w:r>
      <w:r w:rsidR="00FD00D5">
        <w:rPr>
          <w:rFonts w:ascii="Times New Roman" w:eastAsia="Times New Roman" w:hAnsi="Times New Roman" w:cs="Times New Roman"/>
          <w:sz w:val="24"/>
          <w:szCs w:val="24"/>
        </w:rPr>
        <w:t>reach</w:t>
      </w:r>
      <w:r w:rsidR="00FA083E">
        <w:rPr>
          <w:rFonts w:ascii="Times New Roman" w:eastAsia="Times New Roman" w:hAnsi="Times New Roman" w:cs="Times New Roman"/>
          <w:sz w:val="24"/>
          <w:szCs w:val="24"/>
        </w:rPr>
        <w:t>ed</w:t>
      </w:r>
      <w:r w:rsidR="00FD00D5">
        <w:rPr>
          <w:rFonts w:ascii="Times New Roman" w:eastAsia="Times New Roman" w:hAnsi="Times New Roman" w:cs="Times New Roman"/>
          <w:sz w:val="24"/>
          <w:szCs w:val="24"/>
        </w:rPr>
        <w:t xml:space="preserve"> concentrations </w:t>
      </w:r>
      <w:r w:rsidR="00AE55A8">
        <w:rPr>
          <w:rFonts w:ascii="Times New Roman" w:eastAsia="Times New Roman" w:hAnsi="Times New Roman" w:cs="Times New Roman"/>
          <w:sz w:val="24"/>
          <w:szCs w:val="24"/>
        </w:rPr>
        <w:t>above 100ng/ml</w:t>
      </w:r>
      <w:r w:rsidR="000F7DAF">
        <w:rPr>
          <w:rFonts w:ascii="Times New Roman" w:eastAsia="Times New Roman" w:hAnsi="Times New Roman" w:cs="Times New Roman"/>
          <w:sz w:val="24"/>
          <w:szCs w:val="24"/>
        </w:rPr>
        <w:t xml:space="preserve"> </w:t>
      </w:r>
      <w:r w:rsidR="00FA083E">
        <w:rPr>
          <w:rFonts w:ascii="Times New Roman" w:eastAsia="Times New Roman" w:hAnsi="Times New Roman" w:cs="Times New Roman"/>
          <w:sz w:val="24"/>
          <w:szCs w:val="24"/>
        </w:rPr>
        <w:t xml:space="preserve">as well, </w:t>
      </w:r>
      <w:r w:rsidR="00AB232F">
        <w:rPr>
          <w:rFonts w:ascii="Times New Roman" w:eastAsia="Times New Roman" w:hAnsi="Times New Roman" w:cs="Times New Roman"/>
          <w:sz w:val="24"/>
          <w:szCs w:val="24"/>
        </w:rPr>
        <w:t xml:space="preserve">thereby determining </w:t>
      </w:r>
      <w:r w:rsidR="00FA083E">
        <w:rPr>
          <w:rFonts w:ascii="Times New Roman" w:eastAsia="Times New Roman" w:hAnsi="Times New Roman" w:cs="Times New Roman"/>
          <w:sz w:val="24"/>
          <w:szCs w:val="24"/>
        </w:rPr>
        <w:t xml:space="preserve">oral dosing achieves similar </w:t>
      </w:r>
      <w:r w:rsidR="002A3782">
        <w:rPr>
          <w:rFonts w:ascii="Times New Roman" w:eastAsia="Times New Roman" w:hAnsi="Times New Roman" w:cs="Times New Roman"/>
          <w:sz w:val="24"/>
          <w:szCs w:val="24"/>
        </w:rPr>
        <w:t xml:space="preserve">concentrations within the joint as intravenous dosing. This is promising </w:t>
      </w:r>
      <w:r w:rsidR="000F7DAF">
        <w:rPr>
          <w:rFonts w:ascii="Times New Roman" w:eastAsia="Times New Roman" w:hAnsi="Times New Roman" w:cs="Times New Roman"/>
          <w:sz w:val="24"/>
          <w:szCs w:val="24"/>
        </w:rPr>
        <w:t xml:space="preserve">for </w:t>
      </w:r>
      <w:r w:rsidR="00AB232F">
        <w:rPr>
          <w:rFonts w:ascii="Times New Roman" w:eastAsia="Times New Roman" w:hAnsi="Times New Roman" w:cs="Times New Roman"/>
          <w:sz w:val="24"/>
          <w:szCs w:val="24"/>
        </w:rPr>
        <w:t>ease of administration of</w:t>
      </w:r>
      <w:r w:rsidR="00FA083E">
        <w:rPr>
          <w:rFonts w:ascii="Times New Roman" w:eastAsia="Times New Roman" w:hAnsi="Times New Roman" w:cs="Times New Roman"/>
          <w:sz w:val="24"/>
          <w:szCs w:val="24"/>
        </w:rPr>
        <w:t xml:space="preserve"> </w:t>
      </w:r>
      <w:r w:rsidR="00FA083E">
        <w:rPr>
          <w:rFonts w:ascii="Times New Roman" w:eastAsia="Times New Roman" w:hAnsi="Times New Roman" w:cs="Times New Roman"/>
          <w:i/>
          <w:iCs/>
          <w:sz w:val="24"/>
          <w:szCs w:val="24"/>
        </w:rPr>
        <w:t>t-</w:t>
      </w:r>
      <w:r w:rsidR="00FA083E">
        <w:rPr>
          <w:rFonts w:ascii="Times New Roman" w:eastAsia="Times New Roman" w:hAnsi="Times New Roman" w:cs="Times New Roman"/>
          <w:sz w:val="24"/>
          <w:szCs w:val="24"/>
        </w:rPr>
        <w:t>TUCB</w:t>
      </w:r>
      <w:r w:rsidR="00AB232F">
        <w:rPr>
          <w:rFonts w:ascii="Times New Roman" w:eastAsia="Times New Roman" w:hAnsi="Times New Roman" w:cs="Times New Roman"/>
          <w:sz w:val="24"/>
          <w:szCs w:val="24"/>
        </w:rPr>
        <w:t xml:space="preserve"> in the future</w:t>
      </w:r>
      <w:r w:rsidR="000F7DAF">
        <w:rPr>
          <w:rFonts w:ascii="Times New Roman" w:eastAsia="Times New Roman" w:hAnsi="Times New Roman" w:cs="Times New Roman"/>
          <w:sz w:val="24"/>
          <w:szCs w:val="24"/>
        </w:rPr>
        <w:t xml:space="preserve">. </w:t>
      </w:r>
    </w:p>
    <w:p w14:paraId="2ABB36DE" w14:textId="77777777" w:rsidR="00F13E8B" w:rsidRDefault="00F13E8B" w:rsidP="00D67B5B">
      <w:pPr>
        <w:rPr>
          <w:rFonts w:ascii="Times New Roman" w:eastAsia="Times New Roman" w:hAnsi="Times New Roman" w:cs="Times New Roman"/>
          <w:b/>
          <w:bCs/>
          <w:sz w:val="24"/>
          <w:szCs w:val="24"/>
        </w:rPr>
      </w:pPr>
    </w:p>
    <w:p w14:paraId="0DAAB564" w14:textId="363502DA" w:rsidR="00D67B5B" w:rsidRDefault="00D67B5B" w:rsidP="00D67B5B">
      <w:pPr>
        <w:rPr>
          <w:rFonts w:ascii="Times New Roman" w:eastAsia="Times New Roman" w:hAnsi="Times New Roman" w:cs="Times New Roman"/>
          <w:sz w:val="24"/>
          <w:szCs w:val="24"/>
        </w:rPr>
      </w:pPr>
      <w:r w:rsidRPr="00B502B2">
        <w:rPr>
          <w:rFonts w:ascii="Times New Roman" w:eastAsia="Times New Roman" w:hAnsi="Times New Roman" w:cs="Times New Roman"/>
          <w:b/>
          <w:bCs/>
          <w:sz w:val="24"/>
          <w:szCs w:val="24"/>
        </w:rPr>
        <w:t>Figures:</w:t>
      </w:r>
      <w:r>
        <w:rPr>
          <w:rFonts w:ascii="Times New Roman" w:eastAsia="Times New Roman" w:hAnsi="Times New Roman" w:cs="Times New Roman"/>
          <w:sz w:val="24"/>
          <w:szCs w:val="24"/>
        </w:rPr>
        <w:t xml:space="preserve"> </w:t>
      </w:r>
    </w:p>
    <w:p w14:paraId="70D299CA" w14:textId="4DF0725E" w:rsidR="004F2337" w:rsidRDefault="004F2337" w:rsidP="00D67B5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w:drawing>
          <wp:inline distT="0" distB="0" distL="0" distR="0" wp14:anchorId="1C605233" wp14:editId="38CE26C9">
            <wp:extent cx="3322338" cy="3948116"/>
            <wp:effectExtent l="0" t="0" r="5080" b="1905"/>
            <wp:docPr id="942096467" name="Picture 4"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96467" name="Picture 4" descr="A screenshot of a graph&#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57217" cy="3989564"/>
                    </a:xfrm>
                    <a:prstGeom prst="rect">
                      <a:avLst/>
                    </a:prstGeom>
                  </pic:spPr>
                </pic:pic>
              </a:graphicData>
            </a:graphic>
          </wp:inline>
        </w:drawing>
      </w:r>
    </w:p>
    <w:p w14:paraId="6A0C0B20" w14:textId="28D71EEA" w:rsidR="00125962" w:rsidRDefault="00D67B5B" w:rsidP="00125962">
      <w:pPr>
        <w:rPr>
          <w:rFonts w:ascii="Times New Roman" w:eastAsia="Times New Roman" w:hAnsi="Times New Roman" w:cs="Times New Roman"/>
          <w:sz w:val="24"/>
          <w:szCs w:val="24"/>
        </w:rPr>
      </w:pPr>
      <w:r w:rsidRPr="002629AD">
        <w:rPr>
          <w:rFonts w:ascii="Times New Roman" w:eastAsia="Times New Roman" w:hAnsi="Times New Roman" w:cs="Times New Roman"/>
          <w:sz w:val="24"/>
          <w:szCs w:val="24"/>
        </w:rPr>
        <w:t xml:space="preserve">Figure 1. </w:t>
      </w:r>
      <w:r w:rsidR="00B81541" w:rsidRPr="00125962">
        <w:rPr>
          <w:rFonts w:ascii="Times New Roman" w:eastAsia="Times New Roman" w:hAnsi="Times New Roman" w:cs="Times New Roman"/>
          <w:i/>
          <w:iCs/>
          <w:sz w:val="24"/>
          <w:szCs w:val="24"/>
        </w:rPr>
        <w:t>t</w:t>
      </w:r>
      <w:r w:rsidR="00B81541" w:rsidRPr="002629AD">
        <w:rPr>
          <w:rFonts w:ascii="Times New Roman" w:eastAsia="Times New Roman" w:hAnsi="Times New Roman" w:cs="Times New Roman"/>
          <w:sz w:val="24"/>
          <w:szCs w:val="24"/>
        </w:rPr>
        <w:t>-</w:t>
      </w:r>
      <w:r w:rsidR="00125962">
        <w:rPr>
          <w:rFonts w:ascii="Times New Roman" w:eastAsia="Times New Roman" w:hAnsi="Times New Roman" w:cs="Times New Roman"/>
          <w:sz w:val="24"/>
          <w:szCs w:val="24"/>
        </w:rPr>
        <w:t xml:space="preserve">TUCB concentration in plasma following multi-dose oral administration of </w:t>
      </w:r>
      <w:r w:rsidR="00125962" w:rsidRPr="002629AD">
        <w:rPr>
          <w:rFonts w:ascii="Times New Roman" w:eastAsia="Times New Roman" w:hAnsi="Times New Roman" w:cs="Times New Roman"/>
          <w:sz w:val="24"/>
          <w:szCs w:val="24"/>
        </w:rPr>
        <w:t xml:space="preserve">firocoxib (57 mg/horse), </w:t>
      </w:r>
      <w:proofErr w:type="spellStart"/>
      <w:r w:rsidR="00125962" w:rsidRPr="00125962">
        <w:rPr>
          <w:rFonts w:ascii="Times New Roman" w:eastAsia="Times New Roman" w:hAnsi="Times New Roman" w:cs="Times New Roman"/>
          <w:i/>
          <w:iCs/>
          <w:sz w:val="24"/>
          <w:szCs w:val="24"/>
        </w:rPr>
        <w:t>t</w:t>
      </w:r>
      <w:r w:rsidR="00125962" w:rsidRPr="002629AD">
        <w:rPr>
          <w:rFonts w:ascii="Times New Roman" w:eastAsia="Times New Roman" w:hAnsi="Times New Roman" w:cs="Times New Roman"/>
          <w:sz w:val="24"/>
          <w:szCs w:val="24"/>
        </w:rPr>
        <w:t>-TUCB</w:t>
      </w:r>
      <w:r w:rsidR="00125962">
        <w:rPr>
          <w:rFonts w:ascii="Times New Roman" w:eastAsia="Times New Roman" w:hAnsi="Times New Roman" w:cs="Times New Roman"/>
          <w:sz w:val="24"/>
          <w:szCs w:val="24"/>
        </w:rPr>
        <w:t>+</w:t>
      </w:r>
      <w:r w:rsidR="00125962" w:rsidRPr="002629AD">
        <w:rPr>
          <w:rFonts w:ascii="Times New Roman" w:eastAsia="Times New Roman" w:hAnsi="Times New Roman" w:cs="Times New Roman"/>
          <w:sz w:val="24"/>
          <w:szCs w:val="24"/>
        </w:rPr>
        <w:t>firocoxib</w:t>
      </w:r>
      <w:proofErr w:type="spellEnd"/>
      <w:r w:rsidR="00125962" w:rsidRPr="002629AD">
        <w:rPr>
          <w:rFonts w:ascii="Times New Roman" w:eastAsia="Times New Roman" w:hAnsi="Times New Roman" w:cs="Times New Roman"/>
          <w:sz w:val="24"/>
          <w:szCs w:val="24"/>
        </w:rPr>
        <w:t xml:space="preserve"> (500 mg/horse + 28.5 mg/horse), or </w:t>
      </w:r>
      <w:r w:rsidR="00125962" w:rsidRPr="00125962">
        <w:rPr>
          <w:rFonts w:ascii="Times New Roman" w:eastAsia="Times New Roman" w:hAnsi="Times New Roman" w:cs="Times New Roman"/>
          <w:i/>
          <w:iCs/>
          <w:sz w:val="24"/>
          <w:szCs w:val="24"/>
        </w:rPr>
        <w:t>t</w:t>
      </w:r>
      <w:r w:rsidR="00125962" w:rsidRPr="002629AD">
        <w:rPr>
          <w:rFonts w:ascii="Times New Roman" w:eastAsia="Times New Roman" w:hAnsi="Times New Roman" w:cs="Times New Roman"/>
          <w:sz w:val="24"/>
          <w:szCs w:val="24"/>
        </w:rPr>
        <w:t>-TUCB (500 mg/horse)</w:t>
      </w:r>
      <w:r w:rsidR="00125962">
        <w:rPr>
          <w:rFonts w:ascii="Times New Roman" w:eastAsia="Times New Roman" w:hAnsi="Times New Roman" w:cs="Times New Roman"/>
          <w:sz w:val="24"/>
          <w:szCs w:val="24"/>
        </w:rPr>
        <w:t xml:space="preserve"> per horse. Treatment order was randomized. </w:t>
      </w:r>
    </w:p>
    <w:p w14:paraId="6D281B5C" w14:textId="77777777" w:rsidR="004F35F7" w:rsidRDefault="004F35F7" w:rsidP="00125962">
      <w:pPr>
        <w:rPr>
          <w:rFonts w:ascii="Times New Roman" w:eastAsia="Times New Roman" w:hAnsi="Times New Roman" w:cs="Times New Roman"/>
          <w:sz w:val="24"/>
          <w:szCs w:val="24"/>
        </w:rPr>
      </w:pPr>
    </w:p>
    <w:p w14:paraId="72D700C9" w14:textId="18B40C87" w:rsidR="00D27764" w:rsidRDefault="00D27764" w:rsidP="0012596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w:drawing>
          <wp:inline distT="0" distB="0" distL="0" distR="0" wp14:anchorId="4E5147EF" wp14:editId="222269B5">
            <wp:extent cx="3074796" cy="2796114"/>
            <wp:effectExtent l="0" t="0" r="0" b="0"/>
            <wp:docPr id="1750222389" name="Picture 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22389" name="Picture 3" descr="A graph of different colored lin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101878" cy="2820742"/>
                    </a:xfrm>
                    <a:prstGeom prst="rect">
                      <a:avLst/>
                    </a:prstGeom>
                  </pic:spPr>
                </pic:pic>
              </a:graphicData>
            </a:graphic>
          </wp:inline>
        </w:drawing>
      </w:r>
    </w:p>
    <w:p w14:paraId="5E1A3DCF" w14:textId="62EC9ACA" w:rsidR="004F35F7" w:rsidRDefault="004F35F7" w:rsidP="00125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Synovial fluid concentration of </w:t>
      </w:r>
      <w:r w:rsidRPr="002B7BC7">
        <w:rPr>
          <w:rFonts w:ascii="Times New Roman" w:eastAsia="Times New Roman" w:hAnsi="Times New Roman" w:cs="Times New Roman"/>
          <w:i/>
          <w:iCs/>
          <w:sz w:val="24"/>
          <w:szCs w:val="24"/>
        </w:rPr>
        <w:t>t</w:t>
      </w:r>
      <w:r>
        <w:rPr>
          <w:rFonts w:ascii="Times New Roman" w:eastAsia="Times New Roman" w:hAnsi="Times New Roman" w:cs="Times New Roman"/>
          <w:sz w:val="24"/>
          <w:szCs w:val="24"/>
        </w:rPr>
        <w:t>-TUCB from pre</w:t>
      </w:r>
      <w:r w:rsidR="00CE46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post </w:t>
      </w:r>
      <w:r w:rsidR="00CE461F">
        <w:rPr>
          <w:rFonts w:ascii="Times New Roman" w:eastAsia="Times New Roman" w:hAnsi="Times New Roman" w:cs="Times New Roman"/>
          <w:sz w:val="24"/>
          <w:szCs w:val="24"/>
        </w:rPr>
        <w:t xml:space="preserve">10 days of </w:t>
      </w:r>
      <w:r>
        <w:rPr>
          <w:rFonts w:ascii="Times New Roman" w:eastAsia="Times New Roman" w:hAnsi="Times New Roman" w:cs="Times New Roman"/>
          <w:sz w:val="24"/>
          <w:szCs w:val="24"/>
        </w:rPr>
        <w:t>treatment administration</w:t>
      </w:r>
      <w:r w:rsidR="00D4427B">
        <w:rPr>
          <w:rFonts w:ascii="Times New Roman" w:eastAsia="Times New Roman" w:hAnsi="Times New Roman" w:cs="Times New Roman"/>
          <w:sz w:val="24"/>
          <w:szCs w:val="24"/>
        </w:rPr>
        <w:t>, as separated by treatment</w:t>
      </w:r>
      <w:r w:rsidR="00CE461F">
        <w:rPr>
          <w:rFonts w:ascii="Times New Roman" w:eastAsia="Times New Roman" w:hAnsi="Times New Roman" w:cs="Times New Roman"/>
          <w:sz w:val="24"/>
          <w:szCs w:val="24"/>
        </w:rPr>
        <w:t xml:space="preserve"> </w:t>
      </w:r>
      <w:r w:rsidR="00D4427B" w:rsidRPr="002629AD">
        <w:rPr>
          <w:rFonts w:ascii="Times New Roman" w:eastAsia="Times New Roman" w:hAnsi="Times New Roman" w:cs="Times New Roman"/>
          <w:sz w:val="24"/>
          <w:szCs w:val="24"/>
        </w:rPr>
        <w:t xml:space="preserve">firocoxib (57 mg/horse), </w:t>
      </w:r>
      <w:proofErr w:type="spellStart"/>
      <w:r w:rsidR="00D4427B" w:rsidRPr="00125962">
        <w:rPr>
          <w:rFonts w:ascii="Times New Roman" w:eastAsia="Times New Roman" w:hAnsi="Times New Roman" w:cs="Times New Roman"/>
          <w:i/>
          <w:iCs/>
          <w:sz w:val="24"/>
          <w:szCs w:val="24"/>
        </w:rPr>
        <w:t>t</w:t>
      </w:r>
      <w:r w:rsidR="00D4427B" w:rsidRPr="002629AD">
        <w:rPr>
          <w:rFonts w:ascii="Times New Roman" w:eastAsia="Times New Roman" w:hAnsi="Times New Roman" w:cs="Times New Roman"/>
          <w:sz w:val="24"/>
          <w:szCs w:val="24"/>
        </w:rPr>
        <w:t>-TUCB</w:t>
      </w:r>
      <w:r w:rsidR="00D4427B">
        <w:rPr>
          <w:rFonts w:ascii="Times New Roman" w:eastAsia="Times New Roman" w:hAnsi="Times New Roman" w:cs="Times New Roman"/>
          <w:sz w:val="24"/>
          <w:szCs w:val="24"/>
        </w:rPr>
        <w:t>+</w:t>
      </w:r>
      <w:r w:rsidR="00D4427B" w:rsidRPr="002629AD">
        <w:rPr>
          <w:rFonts w:ascii="Times New Roman" w:eastAsia="Times New Roman" w:hAnsi="Times New Roman" w:cs="Times New Roman"/>
          <w:sz w:val="24"/>
          <w:szCs w:val="24"/>
        </w:rPr>
        <w:t>firocoxib</w:t>
      </w:r>
      <w:proofErr w:type="spellEnd"/>
      <w:r w:rsidR="00D4427B" w:rsidRPr="002629AD">
        <w:rPr>
          <w:rFonts w:ascii="Times New Roman" w:eastAsia="Times New Roman" w:hAnsi="Times New Roman" w:cs="Times New Roman"/>
          <w:sz w:val="24"/>
          <w:szCs w:val="24"/>
        </w:rPr>
        <w:t xml:space="preserve"> (500 mg/horse + 28.5 mg/horse), or </w:t>
      </w:r>
      <w:r w:rsidR="00D4427B" w:rsidRPr="00125962">
        <w:rPr>
          <w:rFonts w:ascii="Times New Roman" w:eastAsia="Times New Roman" w:hAnsi="Times New Roman" w:cs="Times New Roman"/>
          <w:i/>
          <w:iCs/>
          <w:sz w:val="24"/>
          <w:szCs w:val="24"/>
        </w:rPr>
        <w:t>t</w:t>
      </w:r>
      <w:r w:rsidR="00D4427B" w:rsidRPr="002629AD">
        <w:rPr>
          <w:rFonts w:ascii="Times New Roman" w:eastAsia="Times New Roman" w:hAnsi="Times New Roman" w:cs="Times New Roman"/>
          <w:sz w:val="24"/>
          <w:szCs w:val="24"/>
        </w:rPr>
        <w:t>-TUCB (500 mg/horse)</w:t>
      </w:r>
      <w:r w:rsidR="00D432BB">
        <w:rPr>
          <w:rFonts w:ascii="Times New Roman" w:eastAsia="Times New Roman" w:hAnsi="Times New Roman" w:cs="Times New Roman"/>
          <w:sz w:val="24"/>
          <w:szCs w:val="24"/>
        </w:rPr>
        <w:t xml:space="preserve">. </w:t>
      </w:r>
    </w:p>
    <w:p w14:paraId="485973F8" w14:textId="77777777" w:rsidR="00D67B5B" w:rsidRDefault="00D67B5B" w:rsidP="00D67B5B">
      <w:pPr>
        <w:rPr>
          <w:rFonts w:ascii="Times New Roman" w:eastAsia="Times New Roman" w:hAnsi="Times New Roman" w:cs="Times New Roman"/>
          <w:sz w:val="24"/>
          <w:szCs w:val="24"/>
        </w:rPr>
      </w:pPr>
    </w:p>
    <w:p w14:paraId="2AC2C803" w14:textId="77777777" w:rsidR="00D67B5B" w:rsidRPr="00BF41BB" w:rsidRDefault="00D67B5B" w:rsidP="00D67B5B">
      <w:pPr>
        <w:rPr>
          <w:rFonts w:ascii="Times New Roman" w:eastAsia="Times New Roman" w:hAnsi="Times New Roman" w:cs="Times New Roman"/>
          <w:b/>
          <w:bCs/>
          <w:sz w:val="24"/>
          <w:szCs w:val="24"/>
        </w:rPr>
      </w:pPr>
      <w:r w:rsidRPr="00BF41BB">
        <w:rPr>
          <w:rFonts w:ascii="Times New Roman" w:eastAsia="Times New Roman" w:hAnsi="Times New Roman" w:cs="Times New Roman"/>
          <w:b/>
          <w:bCs/>
          <w:sz w:val="24"/>
          <w:szCs w:val="24"/>
        </w:rPr>
        <w:t xml:space="preserve">References: </w:t>
      </w:r>
    </w:p>
    <w:p w14:paraId="23E15581" w14:textId="233D199C" w:rsidR="00D67B5B" w:rsidRPr="003A3399" w:rsidRDefault="00000000" w:rsidP="00D67B5B">
      <w:pPr>
        <w:numPr>
          <w:ilvl w:val="0"/>
          <w:numId w:val="1"/>
        </w:numPr>
        <w:rPr>
          <w:rFonts w:ascii="Times New Roman" w:eastAsia="Times New Roman" w:hAnsi="Times New Roman" w:cs="Times New Roman"/>
          <w:sz w:val="24"/>
          <w:szCs w:val="24"/>
        </w:rPr>
      </w:pPr>
      <w:hyperlink r:id="rId8">
        <w:r w:rsidR="00D67B5B">
          <w:rPr>
            <w:rFonts w:ascii="Times New Roman" w:eastAsia="Times New Roman" w:hAnsi="Times New Roman" w:cs="Times New Roman"/>
            <w:sz w:val="24"/>
            <w:szCs w:val="24"/>
          </w:rPr>
          <w:t xml:space="preserve">Carlson, A., Johnson, P.J., Lei, Z. &amp; Keegan, K.G. (2022). Anti-nociceptive efficacy of </w:t>
        </w:r>
        <w:r w:rsidR="00D67B5B">
          <w:rPr>
            <w:rFonts w:ascii="Times New Roman" w:eastAsia="Times New Roman" w:hAnsi="Times New Roman" w:cs="Times New Roman"/>
            <w:sz w:val="24"/>
            <w:szCs w:val="24"/>
          </w:rPr>
          <w:t>t</w:t>
        </w:r>
        <w:r w:rsidR="00D67B5B">
          <w:rPr>
            <w:rFonts w:ascii="Times New Roman" w:eastAsia="Times New Roman" w:hAnsi="Times New Roman" w:cs="Times New Roman"/>
            <w:sz w:val="24"/>
            <w:szCs w:val="24"/>
          </w:rPr>
          <w:t xml:space="preserve">he soluble epoxide hydrolase inhibitor t-TUCB in horses with mechanically induced lameness. </w:t>
        </w:r>
      </w:hyperlink>
      <w:hyperlink r:id="rId9">
        <w:r w:rsidR="00D67B5B">
          <w:rPr>
            <w:rFonts w:ascii="Times New Roman" w:eastAsia="Times New Roman" w:hAnsi="Times New Roman" w:cs="Times New Roman"/>
            <w:i/>
            <w:sz w:val="24"/>
            <w:szCs w:val="24"/>
          </w:rPr>
          <w:t>Res. Vet. Sci.</w:t>
        </w:r>
      </w:hyperlink>
      <w:hyperlink r:id="rId10">
        <w:r w:rsidR="00D67B5B">
          <w:rPr>
            <w:rFonts w:ascii="Times New Roman" w:eastAsia="Times New Roman" w:hAnsi="Times New Roman" w:cs="Times New Roman"/>
            <w:sz w:val="24"/>
            <w:szCs w:val="24"/>
          </w:rPr>
          <w:t xml:space="preserve"> 152, 504–509. </w:t>
        </w:r>
      </w:hyperlink>
      <w:hyperlink r:id="rId11">
        <w:r w:rsidR="00D67B5B">
          <w:rPr>
            <w:rFonts w:ascii="Times New Roman" w:eastAsia="Times New Roman" w:hAnsi="Times New Roman" w:cs="Times New Roman"/>
            <w:sz w:val="24"/>
            <w:szCs w:val="24"/>
          </w:rPr>
          <w:t>http://dx.doi.org/10.1016/j.rvsc.2022.09.017</w:t>
        </w:r>
      </w:hyperlink>
      <w:hyperlink r:id="rId12">
        <w:r w:rsidR="00D67B5B">
          <w:rPr>
            <w:rFonts w:ascii="Times New Roman" w:eastAsia="Times New Roman" w:hAnsi="Times New Roman" w:cs="Times New Roman"/>
            <w:sz w:val="24"/>
            <w:szCs w:val="24"/>
          </w:rPr>
          <w:t>.</w:t>
        </w:r>
      </w:hyperlink>
    </w:p>
    <w:p w14:paraId="265394C8" w14:textId="77777777" w:rsidR="00D67B5B" w:rsidRDefault="00D67B5B" w:rsidP="00291313">
      <w:pPr>
        <w:rPr>
          <w:rFonts w:ascii="Times New Roman" w:eastAsia="Times New Roman" w:hAnsi="Times New Roman" w:cs="Times New Roman"/>
          <w:sz w:val="24"/>
          <w:szCs w:val="24"/>
        </w:rPr>
      </w:pPr>
    </w:p>
    <w:p w14:paraId="4D0A2FE3" w14:textId="45F789D1" w:rsidR="00CC6C09" w:rsidRDefault="00D67B5B" w:rsidP="00CC6C0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Guedes AGP, Aristizabal F, Sole A, Adedeji A, Brosnan R, Knych H, Yang J, Hwang SH, Morisseau C, and Hammock BD (2018). Pharmacokinetics and antinociceptive effects of the soluble epoxide hydrolase inhibitor t-TUCB in horses with experimentally induced radiocarpal synovitis. J Vet </w:t>
      </w:r>
      <w:proofErr w:type="spellStart"/>
      <w:r>
        <w:rPr>
          <w:rFonts w:ascii="Times New Roman" w:eastAsia="Times New Roman" w:hAnsi="Times New Roman" w:cs="Times New Roman"/>
          <w:sz w:val="24"/>
          <w:szCs w:val="24"/>
        </w:rPr>
        <w:t>Pharmacol</w:t>
      </w:r>
      <w:proofErr w:type="spellEnd"/>
      <w:r>
        <w:rPr>
          <w:rFonts w:ascii="Times New Roman" w:eastAsia="Times New Roman" w:hAnsi="Times New Roman" w:cs="Times New Roman"/>
          <w:sz w:val="24"/>
          <w:szCs w:val="24"/>
        </w:rPr>
        <w:t xml:space="preserve"> Therap. 41, 230–8.</w:t>
      </w:r>
    </w:p>
    <w:p w14:paraId="6DEC6E53" w14:textId="77777777" w:rsidR="00CC6C09" w:rsidRPr="00CC6C09" w:rsidRDefault="00CC6C09" w:rsidP="00CC6C09">
      <w:pPr>
        <w:rPr>
          <w:rFonts w:ascii="Times New Roman" w:eastAsia="Times New Roman" w:hAnsi="Times New Roman" w:cs="Times New Roman"/>
          <w:sz w:val="24"/>
          <w:szCs w:val="24"/>
        </w:rPr>
      </w:pPr>
    </w:p>
    <w:p w14:paraId="3D7154D5" w14:textId="071C7516" w:rsidR="000C4C54" w:rsidRPr="00CC6C09" w:rsidRDefault="00CC6C09" w:rsidP="00CC6C09">
      <w:pPr>
        <w:pStyle w:val="NormalWeb"/>
        <w:numPr>
          <w:ilvl w:val="0"/>
          <w:numId w:val="1"/>
        </w:numPr>
        <w:spacing w:before="0" w:beforeAutospacing="0" w:after="240" w:afterAutospacing="0" w:line="276" w:lineRule="auto"/>
      </w:pPr>
      <w:r w:rsidRPr="00CC6C09">
        <w:t xml:space="preserve">McReynolds CB, Hwang SH, Yang J, Wan D, Wagner K, Morisseau C, Li D, Schmidt WK, and Hammock BD (2019) Pharmaceutical effects of inhibiting the soluble epoxide hydrolase in canine osteoarthritis. Frontiers in Pharmacology 10:533. </w:t>
      </w:r>
    </w:p>
    <w:p w14:paraId="72830A85" w14:textId="5412B766" w:rsidR="00CC6C09" w:rsidRDefault="00CC6C09" w:rsidP="00CC6C09">
      <w:pPr>
        <w:pStyle w:val="NormalWeb"/>
        <w:numPr>
          <w:ilvl w:val="0"/>
          <w:numId w:val="1"/>
        </w:numPr>
        <w:spacing w:before="0" w:beforeAutospacing="0" w:after="240" w:afterAutospacing="0" w:line="276" w:lineRule="auto"/>
      </w:pPr>
      <w:r w:rsidRPr="00CC6C09">
        <w:t xml:space="preserve">McReynolds, C.B., Yang, J., Guedes, A., Morisseau, C., Garcia, R., Knych, H., Tearney, C., Hamamoto, B., Hwang, S.H., Wagner, K. and Hammock, B.D. (2021) Species Differences in Metabolism of Soluble Epoxide Hydrolase Inhibitor, EC1728, Highlight the Importance of Clinically Relevant Screening Mechanisms in Drug Development. Molecules 26. http://dx.doi.org/10.3390/molecules26165034. </w:t>
      </w:r>
    </w:p>
    <w:p w14:paraId="0399E5F5" w14:textId="6D6159AF" w:rsidR="00AB2939" w:rsidRPr="00CC6C09" w:rsidRDefault="00AB2939" w:rsidP="00AB2939">
      <w:pPr>
        <w:pStyle w:val="NormalWeb"/>
        <w:numPr>
          <w:ilvl w:val="0"/>
          <w:numId w:val="1"/>
        </w:numPr>
        <w:spacing w:before="0" w:beforeAutospacing="0" w:after="240" w:afterAutospacing="0" w:line="276" w:lineRule="auto"/>
      </w:pPr>
      <w:r w:rsidRPr="007A5D8B">
        <w:lastRenderedPageBreak/>
        <w:t xml:space="preserve">Pedersen, T.L, I.J. Gray, J.W. Newman. 2020. Plasma and serum oxylipin, endocannabinoid, bile acid, steroid, fatty acid and nonsteroidal anti-inflammatory drug quantification in a 96-well plate format. Anal </w:t>
      </w:r>
      <w:proofErr w:type="spellStart"/>
      <w:r w:rsidRPr="007A5D8B">
        <w:t>Chim</w:t>
      </w:r>
      <w:proofErr w:type="spellEnd"/>
      <w:r w:rsidRPr="007A5D8B">
        <w:t xml:space="preserve"> Acta. 1143:189-200.</w:t>
      </w:r>
    </w:p>
    <w:p w14:paraId="0D3DB2DE" w14:textId="0FF92136" w:rsidR="00D67B5B" w:rsidRPr="003A3399" w:rsidRDefault="00D67B5B" w:rsidP="00D67B5B">
      <w:pPr>
        <w:numPr>
          <w:ilvl w:val="0"/>
          <w:numId w:val="1"/>
        </w:numPr>
        <w:spacing w:after="240"/>
        <w:rPr>
          <w:rFonts w:ascii="Times New Roman" w:eastAsia="Times New Roman" w:hAnsi="Times New Roman" w:cs="Times New Roman"/>
          <w:sz w:val="24"/>
          <w:szCs w:val="24"/>
        </w:rPr>
      </w:pPr>
      <w:r w:rsidRPr="00CC6C09">
        <w:rPr>
          <w:rFonts w:ascii="Times New Roman" w:eastAsia="Times New Roman" w:hAnsi="Times New Roman" w:cs="Times New Roman"/>
          <w:sz w:val="24"/>
          <w:szCs w:val="24"/>
        </w:rPr>
        <w:t>Tucker L, Trumble TN, Groschen D et al. (2021). Targeting soluble epoxide hydrolase and cyclooxygenases enhance joint pain control, stimulate collagen synthesis, and protect chondrocytes from cytokine-induced</w:t>
      </w:r>
      <w:r>
        <w:rPr>
          <w:rFonts w:ascii="Times New Roman" w:eastAsia="Times New Roman" w:hAnsi="Times New Roman" w:cs="Times New Roman"/>
          <w:sz w:val="24"/>
          <w:szCs w:val="24"/>
        </w:rPr>
        <w:t xml:space="preserve"> apoptosis. Front Vet Sci 8.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10.3389/fvets.2021.685824.</w:t>
      </w:r>
    </w:p>
    <w:p w14:paraId="1303A1D4" w14:textId="77777777" w:rsidR="00D67B5B" w:rsidRDefault="00D67B5B" w:rsidP="00D67B5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Valdes, Ravipati, S., </w:t>
      </w:r>
      <w:proofErr w:type="spellStart"/>
      <w:r>
        <w:rPr>
          <w:rFonts w:ascii="Times New Roman" w:eastAsia="Times New Roman" w:hAnsi="Times New Roman" w:cs="Times New Roman"/>
          <w:sz w:val="24"/>
          <w:szCs w:val="24"/>
        </w:rPr>
        <w:t>Pousinis</w:t>
      </w:r>
      <w:proofErr w:type="spellEnd"/>
      <w:r>
        <w:rPr>
          <w:rFonts w:ascii="Times New Roman" w:eastAsia="Times New Roman" w:hAnsi="Times New Roman" w:cs="Times New Roman"/>
          <w:sz w:val="24"/>
          <w:szCs w:val="24"/>
        </w:rPr>
        <w:t>, P., Menni, C., Mangino, M., Abhishek, A., Chapman, V., Barrett, D. A., &amp; Doherty, M. (2018). Omega-6 oxylipins generated by soluble epoxide hydrolase are associated with knee osteoarthritis. Journal of Lipid Research, 59(9), 1763–1770. https://doi.org/10.1194/jlr.P085118</w:t>
      </w:r>
    </w:p>
    <w:p w14:paraId="0D63F7D1" w14:textId="77777777" w:rsidR="00D67B5B" w:rsidRDefault="00D67B5B" w:rsidP="00D67B5B">
      <w:pPr>
        <w:rPr>
          <w:rFonts w:ascii="Times New Roman" w:eastAsia="Times New Roman" w:hAnsi="Times New Roman" w:cs="Times New Roman"/>
          <w:sz w:val="24"/>
          <w:szCs w:val="24"/>
        </w:rPr>
      </w:pPr>
    </w:p>
    <w:p w14:paraId="4F26D070" w14:textId="77777777" w:rsidR="00D67B5B" w:rsidRDefault="00D67B5B" w:rsidP="00D67B5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Walters B, </w:t>
      </w:r>
      <w:proofErr w:type="spellStart"/>
      <w:r>
        <w:rPr>
          <w:rFonts w:ascii="Times New Roman" w:eastAsia="Times New Roman" w:hAnsi="Times New Roman" w:cs="Times New Roman"/>
          <w:sz w:val="24"/>
          <w:szCs w:val="24"/>
        </w:rPr>
        <w:t>Trumble</w:t>
      </w:r>
      <w:proofErr w:type="spellEnd"/>
      <w:r>
        <w:rPr>
          <w:rFonts w:ascii="Times New Roman" w:eastAsia="Times New Roman" w:hAnsi="Times New Roman" w:cs="Times New Roman"/>
          <w:sz w:val="24"/>
          <w:szCs w:val="24"/>
        </w:rPr>
        <w:t xml:space="preserve"> TN, Wendt-</w:t>
      </w:r>
      <w:proofErr w:type="spellStart"/>
      <w:r>
        <w:rPr>
          <w:rFonts w:ascii="Times New Roman" w:eastAsia="Times New Roman" w:hAnsi="Times New Roman" w:cs="Times New Roman"/>
          <w:sz w:val="24"/>
          <w:szCs w:val="24"/>
        </w:rPr>
        <w:t>Hornickle</w:t>
      </w:r>
      <w:proofErr w:type="spellEnd"/>
      <w:r>
        <w:rPr>
          <w:rFonts w:ascii="Times New Roman" w:eastAsia="Times New Roman" w:hAnsi="Times New Roman" w:cs="Times New Roman"/>
          <w:sz w:val="24"/>
          <w:szCs w:val="24"/>
        </w:rPr>
        <w:t xml:space="preserve"> E et al. (2022). Effects of cyclooxygenase and soluble epoxide hydrolase inhibitors on apoptosis of cultured primary equine chondrocytes. Research in Veterinary Science 147:44-49. https://doi.org/10.1016/j.rvsc.2022.04.002</w:t>
      </w:r>
    </w:p>
    <w:p w14:paraId="53EAE32F" w14:textId="77777777" w:rsidR="00291313" w:rsidRDefault="00291313" w:rsidP="00D67B5B">
      <w:pPr>
        <w:rPr>
          <w:rFonts w:ascii="Times New Roman" w:eastAsia="Times New Roman" w:hAnsi="Times New Roman" w:cs="Times New Roman"/>
          <w:sz w:val="24"/>
          <w:szCs w:val="24"/>
        </w:rPr>
      </w:pPr>
    </w:p>
    <w:p w14:paraId="1F17256B" w14:textId="1EC703D6" w:rsidR="00D67B5B" w:rsidRPr="00CA6324" w:rsidRDefault="004A6366" w:rsidP="00D67B5B">
      <w:pPr>
        <w:rPr>
          <w:rFonts w:ascii="Times New Roman" w:eastAsia="Times New Roman" w:hAnsi="Times New Roman" w:cs="Times New Roman"/>
          <w:b/>
          <w:bCs/>
          <w:sz w:val="24"/>
          <w:szCs w:val="24"/>
        </w:rPr>
      </w:pPr>
      <w:r w:rsidRPr="00CA6324">
        <w:rPr>
          <w:rFonts w:ascii="Times New Roman" w:eastAsia="Times New Roman" w:hAnsi="Times New Roman" w:cs="Times New Roman"/>
          <w:b/>
          <w:bCs/>
          <w:sz w:val="24"/>
          <w:szCs w:val="24"/>
        </w:rPr>
        <w:t>Acknowledgements:</w:t>
      </w:r>
    </w:p>
    <w:p w14:paraId="56032D59" w14:textId="23DEAC93" w:rsidR="00D67B5B" w:rsidRDefault="00D67B5B" w:rsidP="00D67B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Funding was provided </w:t>
      </w:r>
      <w:r w:rsidR="00291313">
        <w:rPr>
          <w:rFonts w:ascii="Times New Roman" w:eastAsia="Times New Roman" w:hAnsi="Times New Roman" w:cs="Times New Roman"/>
          <w:sz w:val="24"/>
          <w:szCs w:val="24"/>
        </w:rPr>
        <w:t>internally</w:t>
      </w:r>
      <w:r>
        <w:rPr>
          <w:rFonts w:ascii="Times New Roman" w:eastAsia="Times New Roman" w:hAnsi="Times New Roman" w:cs="Times New Roman"/>
          <w:sz w:val="24"/>
          <w:szCs w:val="24"/>
        </w:rPr>
        <w:t xml:space="preserve">. The novel compound </w:t>
      </w:r>
      <w:r w:rsidR="00291313" w:rsidRPr="00291313">
        <w:rPr>
          <w:rFonts w:ascii="Times New Roman" w:eastAsia="Times New Roman" w:hAnsi="Times New Roman" w:cs="Times New Roman"/>
          <w:sz w:val="24"/>
          <w:szCs w:val="24"/>
        </w:rPr>
        <w:t>t</w:t>
      </w:r>
      <w:r w:rsidR="00291313">
        <w:rPr>
          <w:rFonts w:ascii="Times New Roman" w:eastAsia="Times New Roman" w:hAnsi="Times New Roman" w:cs="Times New Roman"/>
          <w:sz w:val="24"/>
          <w:szCs w:val="24"/>
        </w:rPr>
        <w:t xml:space="preserve">-TUCB </w:t>
      </w:r>
      <w:r w:rsidRPr="00291313">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provided by </w:t>
      </w:r>
      <w:proofErr w:type="spellStart"/>
      <w:r>
        <w:rPr>
          <w:rFonts w:ascii="Times New Roman" w:eastAsia="Times New Roman" w:hAnsi="Times New Roman" w:cs="Times New Roman"/>
          <w:sz w:val="24"/>
          <w:szCs w:val="24"/>
        </w:rPr>
        <w:t>EicOsis</w:t>
      </w:r>
      <w:proofErr w:type="spellEnd"/>
      <w:r>
        <w:rPr>
          <w:rFonts w:ascii="Times New Roman" w:eastAsia="Times New Roman" w:hAnsi="Times New Roman" w:cs="Times New Roman"/>
          <w:sz w:val="24"/>
          <w:szCs w:val="24"/>
        </w:rPr>
        <w:t xml:space="preserve">. </w:t>
      </w:r>
    </w:p>
    <w:p w14:paraId="7170D19C" w14:textId="77777777" w:rsidR="00CA7C0B" w:rsidRDefault="00CA7C0B"/>
    <w:p w14:paraId="331CB218" w14:textId="2F5C6587" w:rsidR="00B90A8F" w:rsidRDefault="00B90A8F"/>
    <w:sectPr w:rsidR="00B90A8F" w:rsidSect="003B7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IDFont+F3">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37027"/>
    <w:multiLevelType w:val="multilevel"/>
    <w:tmpl w:val="914A7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7333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rial&lt;/FontName&gt;&lt;FontSize&gt;11&lt;/FontSize&gt;&lt;ReflistTitle&gt;Resour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eazvzvczxtsiepp0h5522ytt2ra2pwp0wt&quot;&gt;SCB MRI study&lt;record-ids&gt;&lt;item&gt;77&lt;/item&gt;&lt;/record-ids&gt;&lt;/item&gt;&lt;/Libraries&gt;"/>
  </w:docVars>
  <w:rsids>
    <w:rsidRoot w:val="00913C50"/>
    <w:rsid w:val="000003C1"/>
    <w:rsid w:val="00013BFE"/>
    <w:rsid w:val="000474DE"/>
    <w:rsid w:val="000523F0"/>
    <w:rsid w:val="000B6418"/>
    <w:rsid w:val="000B687F"/>
    <w:rsid w:val="000C4C54"/>
    <w:rsid w:val="000D40F8"/>
    <w:rsid w:val="000F7DAF"/>
    <w:rsid w:val="001038BA"/>
    <w:rsid w:val="00125962"/>
    <w:rsid w:val="0013613E"/>
    <w:rsid w:val="001422B6"/>
    <w:rsid w:val="001429DA"/>
    <w:rsid w:val="0016294C"/>
    <w:rsid w:val="001B159B"/>
    <w:rsid w:val="001F5C10"/>
    <w:rsid w:val="00204324"/>
    <w:rsid w:val="00223FE5"/>
    <w:rsid w:val="0023324B"/>
    <w:rsid w:val="002355AA"/>
    <w:rsid w:val="00275A62"/>
    <w:rsid w:val="00291313"/>
    <w:rsid w:val="002A3782"/>
    <w:rsid w:val="002B50B8"/>
    <w:rsid w:val="002B7BC7"/>
    <w:rsid w:val="002F6E15"/>
    <w:rsid w:val="00313441"/>
    <w:rsid w:val="00321896"/>
    <w:rsid w:val="00343A06"/>
    <w:rsid w:val="00345EA3"/>
    <w:rsid w:val="00373E81"/>
    <w:rsid w:val="00381C07"/>
    <w:rsid w:val="003917AF"/>
    <w:rsid w:val="003A3399"/>
    <w:rsid w:val="003B1A8D"/>
    <w:rsid w:val="003B7C7A"/>
    <w:rsid w:val="00405B08"/>
    <w:rsid w:val="00452D76"/>
    <w:rsid w:val="0048657B"/>
    <w:rsid w:val="00486A99"/>
    <w:rsid w:val="004A3B93"/>
    <w:rsid w:val="004A6366"/>
    <w:rsid w:val="004F2337"/>
    <w:rsid w:val="004F35F7"/>
    <w:rsid w:val="004F6CFC"/>
    <w:rsid w:val="004F7A0B"/>
    <w:rsid w:val="0050411C"/>
    <w:rsid w:val="005365BF"/>
    <w:rsid w:val="005421A7"/>
    <w:rsid w:val="00555554"/>
    <w:rsid w:val="00565CB4"/>
    <w:rsid w:val="00584DF1"/>
    <w:rsid w:val="00586597"/>
    <w:rsid w:val="005A6D1C"/>
    <w:rsid w:val="005B360C"/>
    <w:rsid w:val="005C24DD"/>
    <w:rsid w:val="005C5B53"/>
    <w:rsid w:val="005E5C0B"/>
    <w:rsid w:val="006010D7"/>
    <w:rsid w:val="0066557D"/>
    <w:rsid w:val="00685503"/>
    <w:rsid w:val="00686C32"/>
    <w:rsid w:val="006A4731"/>
    <w:rsid w:val="006F6ABD"/>
    <w:rsid w:val="007170B8"/>
    <w:rsid w:val="00727151"/>
    <w:rsid w:val="00781B8E"/>
    <w:rsid w:val="0079080C"/>
    <w:rsid w:val="007B7B51"/>
    <w:rsid w:val="007C42FC"/>
    <w:rsid w:val="007D2E13"/>
    <w:rsid w:val="007D476C"/>
    <w:rsid w:val="0080316C"/>
    <w:rsid w:val="0080631A"/>
    <w:rsid w:val="008251EF"/>
    <w:rsid w:val="008274DA"/>
    <w:rsid w:val="00842314"/>
    <w:rsid w:val="00850F05"/>
    <w:rsid w:val="00854585"/>
    <w:rsid w:val="00867B36"/>
    <w:rsid w:val="0087197E"/>
    <w:rsid w:val="008C4CFC"/>
    <w:rsid w:val="008D12DF"/>
    <w:rsid w:val="00913C50"/>
    <w:rsid w:val="00947C41"/>
    <w:rsid w:val="00963498"/>
    <w:rsid w:val="009945E9"/>
    <w:rsid w:val="009A485D"/>
    <w:rsid w:val="009C5E6C"/>
    <w:rsid w:val="009D5304"/>
    <w:rsid w:val="009D63D6"/>
    <w:rsid w:val="009F3172"/>
    <w:rsid w:val="00A06E95"/>
    <w:rsid w:val="00A256A4"/>
    <w:rsid w:val="00AA789C"/>
    <w:rsid w:val="00AB138D"/>
    <w:rsid w:val="00AB232F"/>
    <w:rsid w:val="00AB2939"/>
    <w:rsid w:val="00AD60F2"/>
    <w:rsid w:val="00AE42A6"/>
    <w:rsid w:val="00AE55A8"/>
    <w:rsid w:val="00B17A83"/>
    <w:rsid w:val="00B21925"/>
    <w:rsid w:val="00B26B95"/>
    <w:rsid w:val="00B3494B"/>
    <w:rsid w:val="00B37176"/>
    <w:rsid w:val="00B448BB"/>
    <w:rsid w:val="00B503AE"/>
    <w:rsid w:val="00B6280C"/>
    <w:rsid w:val="00B62B18"/>
    <w:rsid w:val="00B66ED8"/>
    <w:rsid w:val="00B81541"/>
    <w:rsid w:val="00B90A8F"/>
    <w:rsid w:val="00B9497A"/>
    <w:rsid w:val="00BB3421"/>
    <w:rsid w:val="00BB4C3A"/>
    <w:rsid w:val="00BD6DDE"/>
    <w:rsid w:val="00BE642B"/>
    <w:rsid w:val="00BF3629"/>
    <w:rsid w:val="00BF3FFF"/>
    <w:rsid w:val="00BF41BB"/>
    <w:rsid w:val="00C1612F"/>
    <w:rsid w:val="00C16828"/>
    <w:rsid w:val="00C46B63"/>
    <w:rsid w:val="00C50A66"/>
    <w:rsid w:val="00C75081"/>
    <w:rsid w:val="00C83FAA"/>
    <w:rsid w:val="00C87DD7"/>
    <w:rsid w:val="00C9283B"/>
    <w:rsid w:val="00CA6324"/>
    <w:rsid w:val="00CA7C0B"/>
    <w:rsid w:val="00CC3E29"/>
    <w:rsid w:val="00CC6C09"/>
    <w:rsid w:val="00CE461F"/>
    <w:rsid w:val="00CF457D"/>
    <w:rsid w:val="00D27764"/>
    <w:rsid w:val="00D319EB"/>
    <w:rsid w:val="00D432BB"/>
    <w:rsid w:val="00D4427B"/>
    <w:rsid w:val="00D52920"/>
    <w:rsid w:val="00D67934"/>
    <w:rsid w:val="00D67B5B"/>
    <w:rsid w:val="00DA6018"/>
    <w:rsid w:val="00DB36DB"/>
    <w:rsid w:val="00DB478A"/>
    <w:rsid w:val="00DD4379"/>
    <w:rsid w:val="00E04DEB"/>
    <w:rsid w:val="00E10A8D"/>
    <w:rsid w:val="00E213F7"/>
    <w:rsid w:val="00E3096A"/>
    <w:rsid w:val="00E37128"/>
    <w:rsid w:val="00E52BB1"/>
    <w:rsid w:val="00E72F90"/>
    <w:rsid w:val="00E800B9"/>
    <w:rsid w:val="00E8474F"/>
    <w:rsid w:val="00E94707"/>
    <w:rsid w:val="00EA39FF"/>
    <w:rsid w:val="00EB25A2"/>
    <w:rsid w:val="00EF6E54"/>
    <w:rsid w:val="00F009B1"/>
    <w:rsid w:val="00F13E8B"/>
    <w:rsid w:val="00F40946"/>
    <w:rsid w:val="00F40D9B"/>
    <w:rsid w:val="00F4229D"/>
    <w:rsid w:val="00F52752"/>
    <w:rsid w:val="00F61981"/>
    <w:rsid w:val="00F61E09"/>
    <w:rsid w:val="00F72859"/>
    <w:rsid w:val="00F809C7"/>
    <w:rsid w:val="00F929F5"/>
    <w:rsid w:val="00F94537"/>
    <w:rsid w:val="00FA083E"/>
    <w:rsid w:val="00FA5569"/>
    <w:rsid w:val="00FD00D5"/>
    <w:rsid w:val="00FD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26D2"/>
  <w15:chartTrackingRefBased/>
  <w15:docId w15:val="{4B3C50DB-619D-384E-91FD-C82968C1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5B"/>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13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C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C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C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C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C50"/>
    <w:rPr>
      <w:rFonts w:eastAsiaTheme="majorEastAsia" w:cstheme="majorBidi"/>
      <w:color w:val="272727" w:themeColor="text1" w:themeTint="D8"/>
    </w:rPr>
  </w:style>
  <w:style w:type="paragraph" w:styleId="Title">
    <w:name w:val="Title"/>
    <w:basedOn w:val="Normal"/>
    <w:next w:val="Normal"/>
    <w:link w:val="TitleChar"/>
    <w:uiPriority w:val="10"/>
    <w:qFormat/>
    <w:rsid w:val="00913C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C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C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3C50"/>
    <w:rPr>
      <w:i/>
      <w:iCs/>
      <w:color w:val="404040" w:themeColor="text1" w:themeTint="BF"/>
    </w:rPr>
  </w:style>
  <w:style w:type="paragraph" w:styleId="ListParagraph">
    <w:name w:val="List Paragraph"/>
    <w:basedOn w:val="Normal"/>
    <w:uiPriority w:val="34"/>
    <w:qFormat/>
    <w:rsid w:val="00913C50"/>
    <w:pPr>
      <w:ind w:left="720"/>
      <w:contextualSpacing/>
    </w:pPr>
  </w:style>
  <w:style w:type="character" w:styleId="IntenseEmphasis">
    <w:name w:val="Intense Emphasis"/>
    <w:basedOn w:val="DefaultParagraphFont"/>
    <w:uiPriority w:val="21"/>
    <w:qFormat/>
    <w:rsid w:val="00913C50"/>
    <w:rPr>
      <w:i/>
      <w:iCs/>
      <w:color w:val="0F4761" w:themeColor="accent1" w:themeShade="BF"/>
    </w:rPr>
  </w:style>
  <w:style w:type="paragraph" w:styleId="IntenseQuote">
    <w:name w:val="Intense Quote"/>
    <w:basedOn w:val="Normal"/>
    <w:next w:val="Normal"/>
    <w:link w:val="IntenseQuoteChar"/>
    <w:uiPriority w:val="30"/>
    <w:qFormat/>
    <w:rsid w:val="00913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C50"/>
    <w:rPr>
      <w:i/>
      <w:iCs/>
      <w:color w:val="0F4761" w:themeColor="accent1" w:themeShade="BF"/>
    </w:rPr>
  </w:style>
  <w:style w:type="character" w:styleId="IntenseReference">
    <w:name w:val="Intense Reference"/>
    <w:basedOn w:val="DefaultParagraphFont"/>
    <w:uiPriority w:val="32"/>
    <w:qFormat/>
    <w:rsid w:val="00913C50"/>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DD4379"/>
    <w:pPr>
      <w:jc w:val="center"/>
    </w:pPr>
    <w:rPr>
      <w:lang w:val="en-US"/>
    </w:rPr>
  </w:style>
  <w:style w:type="character" w:customStyle="1" w:styleId="EndNoteBibliographyTitleChar">
    <w:name w:val="EndNote Bibliography Title Char"/>
    <w:basedOn w:val="DefaultParagraphFont"/>
    <w:link w:val="EndNoteBibliographyTitle"/>
    <w:rsid w:val="00DD4379"/>
    <w:rPr>
      <w:rFonts w:ascii="Arial" w:eastAsia="Arial" w:hAnsi="Arial" w:cs="Arial"/>
      <w:kern w:val="0"/>
      <w:sz w:val="22"/>
      <w:szCs w:val="22"/>
      <w14:ligatures w14:val="none"/>
    </w:rPr>
  </w:style>
  <w:style w:type="paragraph" w:customStyle="1" w:styleId="EndNoteBibliography">
    <w:name w:val="EndNote Bibliography"/>
    <w:basedOn w:val="Normal"/>
    <w:link w:val="EndNoteBibliographyChar"/>
    <w:rsid w:val="00DD4379"/>
    <w:pPr>
      <w:spacing w:line="240" w:lineRule="auto"/>
    </w:pPr>
    <w:rPr>
      <w:lang w:val="en-US"/>
    </w:rPr>
  </w:style>
  <w:style w:type="character" w:customStyle="1" w:styleId="EndNoteBibliographyChar">
    <w:name w:val="EndNote Bibliography Char"/>
    <w:basedOn w:val="DefaultParagraphFont"/>
    <w:link w:val="EndNoteBibliography"/>
    <w:rsid w:val="00DD4379"/>
    <w:rPr>
      <w:rFonts w:ascii="Arial" w:eastAsia="Arial" w:hAnsi="Arial" w:cs="Arial"/>
      <w:kern w:val="0"/>
      <w:sz w:val="22"/>
      <w:szCs w:val="22"/>
      <w14:ligatures w14:val="none"/>
    </w:rPr>
  </w:style>
  <w:style w:type="character" w:styleId="Hyperlink">
    <w:name w:val="Hyperlink"/>
    <w:basedOn w:val="DefaultParagraphFont"/>
    <w:uiPriority w:val="99"/>
    <w:unhideWhenUsed/>
    <w:rsid w:val="00DD4379"/>
    <w:rPr>
      <w:color w:val="467886" w:themeColor="hyperlink"/>
      <w:u w:val="single"/>
    </w:rPr>
  </w:style>
  <w:style w:type="character" w:styleId="UnresolvedMention">
    <w:name w:val="Unresolved Mention"/>
    <w:basedOn w:val="DefaultParagraphFont"/>
    <w:uiPriority w:val="99"/>
    <w:semiHidden/>
    <w:unhideWhenUsed/>
    <w:rsid w:val="00DD4379"/>
    <w:rPr>
      <w:color w:val="605E5C"/>
      <w:shd w:val="clear" w:color="auto" w:fill="E1DFDD"/>
    </w:rPr>
  </w:style>
  <w:style w:type="paragraph" w:styleId="NormalWeb">
    <w:name w:val="Normal (Web)"/>
    <w:basedOn w:val="Normal"/>
    <w:uiPriority w:val="99"/>
    <w:unhideWhenUsed/>
    <w:rsid w:val="005365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F40D9B"/>
    <w:rPr>
      <w:rFonts w:ascii="Arial" w:eastAsia="Arial" w:hAnsi="Arial" w:cs="Arial"/>
      <w:kern w:val="0"/>
      <w:sz w:val="22"/>
      <w:szCs w:val="22"/>
      <w:lang w:val="en"/>
      <w14:ligatures w14:val="none"/>
    </w:rPr>
  </w:style>
  <w:style w:type="character" w:styleId="CommentReference">
    <w:name w:val="annotation reference"/>
    <w:basedOn w:val="DefaultParagraphFont"/>
    <w:uiPriority w:val="99"/>
    <w:semiHidden/>
    <w:unhideWhenUsed/>
    <w:rsid w:val="00486A99"/>
    <w:rPr>
      <w:sz w:val="16"/>
      <w:szCs w:val="16"/>
    </w:rPr>
  </w:style>
  <w:style w:type="paragraph" w:styleId="CommentText">
    <w:name w:val="annotation text"/>
    <w:basedOn w:val="Normal"/>
    <w:link w:val="CommentTextChar"/>
    <w:uiPriority w:val="99"/>
    <w:semiHidden/>
    <w:unhideWhenUsed/>
    <w:rsid w:val="00486A99"/>
    <w:pPr>
      <w:spacing w:line="240" w:lineRule="auto"/>
    </w:pPr>
    <w:rPr>
      <w:sz w:val="20"/>
      <w:szCs w:val="20"/>
    </w:rPr>
  </w:style>
  <w:style w:type="character" w:customStyle="1" w:styleId="CommentTextChar">
    <w:name w:val="Comment Text Char"/>
    <w:basedOn w:val="DefaultParagraphFont"/>
    <w:link w:val="CommentText"/>
    <w:uiPriority w:val="99"/>
    <w:semiHidden/>
    <w:rsid w:val="00486A99"/>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486A99"/>
    <w:rPr>
      <w:b/>
      <w:bCs/>
    </w:rPr>
  </w:style>
  <w:style w:type="character" w:customStyle="1" w:styleId="CommentSubjectChar">
    <w:name w:val="Comment Subject Char"/>
    <w:basedOn w:val="CommentTextChar"/>
    <w:link w:val="CommentSubject"/>
    <w:uiPriority w:val="99"/>
    <w:semiHidden/>
    <w:rsid w:val="00486A99"/>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0363">
      <w:bodyDiv w:val="1"/>
      <w:marLeft w:val="0"/>
      <w:marRight w:val="0"/>
      <w:marTop w:val="0"/>
      <w:marBottom w:val="0"/>
      <w:divBdr>
        <w:top w:val="none" w:sz="0" w:space="0" w:color="auto"/>
        <w:left w:val="none" w:sz="0" w:space="0" w:color="auto"/>
        <w:bottom w:val="none" w:sz="0" w:space="0" w:color="auto"/>
        <w:right w:val="none" w:sz="0" w:space="0" w:color="auto"/>
      </w:divBdr>
      <w:divsChild>
        <w:div w:id="907957951">
          <w:marLeft w:val="0"/>
          <w:marRight w:val="0"/>
          <w:marTop w:val="0"/>
          <w:marBottom w:val="0"/>
          <w:divBdr>
            <w:top w:val="none" w:sz="0" w:space="0" w:color="auto"/>
            <w:left w:val="none" w:sz="0" w:space="0" w:color="auto"/>
            <w:bottom w:val="none" w:sz="0" w:space="0" w:color="auto"/>
            <w:right w:val="none" w:sz="0" w:space="0" w:color="auto"/>
          </w:divBdr>
          <w:divsChild>
            <w:div w:id="1289779256">
              <w:marLeft w:val="0"/>
              <w:marRight w:val="0"/>
              <w:marTop w:val="0"/>
              <w:marBottom w:val="0"/>
              <w:divBdr>
                <w:top w:val="none" w:sz="0" w:space="0" w:color="auto"/>
                <w:left w:val="none" w:sz="0" w:space="0" w:color="auto"/>
                <w:bottom w:val="none" w:sz="0" w:space="0" w:color="auto"/>
                <w:right w:val="none" w:sz="0" w:space="0" w:color="auto"/>
              </w:divBdr>
              <w:divsChild>
                <w:div w:id="13343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46336">
      <w:bodyDiv w:val="1"/>
      <w:marLeft w:val="0"/>
      <w:marRight w:val="0"/>
      <w:marTop w:val="0"/>
      <w:marBottom w:val="0"/>
      <w:divBdr>
        <w:top w:val="none" w:sz="0" w:space="0" w:color="auto"/>
        <w:left w:val="none" w:sz="0" w:space="0" w:color="auto"/>
        <w:bottom w:val="none" w:sz="0" w:space="0" w:color="auto"/>
        <w:right w:val="none" w:sz="0" w:space="0" w:color="auto"/>
      </w:divBdr>
      <w:divsChild>
        <w:div w:id="598870951">
          <w:marLeft w:val="0"/>
          <w:marRight w:val="0"/>
          <w:marTop w:val="0"/>
          <w:marBottom w:val="0"/>
          <w:divBdr>
            <w:top w:val="none" w:sz="0" w:space="0" w:color="auto"/>
            <w:left w:val="none" w:sz="0" w:space="0" w:color="auto"/>
            <w:bottom w:val="none" w:sz="0" w:space="0" w:color="auto"/>
            <w:right w:val="none" w:sz="0" w:space="0" w:color="auto"/>
          </w:divBdr>
          <w:divsChild>
            <w:div w:id="1329791277">
              <w:marLeft w:val="0"/>
              <w:marRight w:val="0"/>
              <w:marTop w:val="0"/>
              <w:marBottom w:val="0"/>
              <w:divBdr>
                <w:top w:val="none" w:sz="0" w:space="0" w:color="auto"/>
                <w:left w:val="none" w:sz="0" w:space="0" w:color="auto"/>
                <w:bottom w:val="none" w:sz="0" w:space="0" w:color="auto"/>
                <w:right w:val="none" w:sz="0" w:space="0" w:color="auto"/>
              </w:divBdr>
              <w:divsChild>
                <w:div w:id="576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5254">
      <w:bodyDiv w:val="1"/>
      <w:marLeft w:val="0"/>
      <w:marRight w:val="0"/>
      <w:marTop w:val="0"/>
      <w:marBottom w:val="0"/>
      <w:divBdr>
        <w:top w:val="none" w:sz="0" w:space="0" w:color="auto"/>
        <w:left w:val="none" w:sz="0" w:space="0" w:color="auto"/>
        <w:bottom w:val="none" w:sz="0" w:space="0" w:color="auto"/>
        <w:right w:val="none" w:sz="0" w:space="0" w:color="auto"/>
      </w:divBdr>
      <w:divsChild>
        <w:div w:id="813450339">
          <w:marLeft w:val="0"/>
          <w:marRight w:val="0"/>
          <w:marTop w:val="0"/>
          <w:marBottom w:val="0"/>
          <w:divBdr>
            <w:top w:val="none" w:sz="0" w:space="0" w:color="auto"/>
            <w:left w:val="none" w:sz="0" w:space="0" w:color="auto"/>
            <w:bottom w:val="none" w:sz="0" w:space="0" w:color="auto"/>
            <w:right w:val="none" w:sz="0" w:space="0" w:color="auto"/>
          </w:divBdr>
          <w:divsChild>
            <w:div w:id="1061248715">
              <w:marLeft w:val="0"/>
              <w:marRight w:val="0"/>
              <w:marTop w:val="0"/>
              <w:marBottom w:val="0"/>
              <w:divBdr>
                <w:top w:val="none" w:sz="0" w:space="0" w:color="auto"/>
                <w:left w:val="none" w:sz="0" w:space="0" w:color="auto"/>
                <w:bottom w:val="none" w:sz="0" w:space="0" w:color="auto"/>
                <w:right w:val="none" w:sz="0" w:space="0" w:color="auto"/>
              </w:divBdr>
              <w:divsChild>
                <w:div w:id="21106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20620">
      <w:bodyDiv w:val="1"/>
      <w:marLeft w:val="0"/>
      <w:marRight w:val="0"/>
      <w:marTop w:val="0"/>
      <w:marBottom w:val="0"/>
      <w:divBdr>
        <w:top w:val="none" w:sz="0" w:space="0" w:color="auto"/>
        <w:left w:val="none" w:sz="0" w:space="0" w:color="auto"/>
        <w:bottom w:val="none" w:sz="0" w:space="0" w:color="auto"/>
        <w:right w:val="none" w:sz="0" w:space="0" w:color="auto"/>
      </w:divBdr>
      <w:divsChild>
        <w:div w:id="1867719617">
          <w:marLeft w:val="0"/>
          <w:marRight w:val="0"/>
          <w:marTop w:val="0"/>
          <w:marBottom w:val="0"/>
          <w:divBdr>
            <w:top w:val="none" w:sz="0" w:space="0" w:color="auto"/>
            <w:left w:val="none" w:sz="0" w:space="0" w:color="auto"/>
            <w:bottom w:val="none" w:sz="0" w:space="0" w:color="auto"/>
            <w:right w:val="none" w:sz="0" w:space="0" w:color="auto"/>
          </w:divBdr>
          <w:divsChild>
            <w:div w:id="594287204">
              <w:marLeft w:val="0"/>
              <w:marRight w:val="0"/>
              <w:marTop w:val="0"/>
              <w:marBottom w:val="0"/>
              <w:divBdr>
                <w:top w:val="none" w:sz="0" w:space="0" w:color="auto"/>
                <w:left w:val="none" w:sz="0" w:space="0" w:color="auto"/>
                <w:bottom w:val="none" w:sz="0" w:space="0" w:color="auto"/>
                <w:right w:val="none" w:sz="0" w:space="0" w:color="auto"/>
              </w:divBdr>
              <w:divsChild>
                <w:div w:id="9123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91617">
      <w:bodyDiv w:val="1"/>
      <w:marLeft w:val="0"/>
      <w:marRight w:val="0"/>
      <w:marTop w:val="0"/>
      <w:marBottom w:val="0"/>
      <w:divBdr>
        <w:top w:val="none" w:sz="0" w:space="0" w:color="auto"/>
        <w:left w:val="none" w:sz="0" w:space="0" w:color="auto"/>
        <w:bottom w:val="none" w:sz="0" w:space="0" w:color="auto"/>
        <w:right w:val="none" w:sz="0" w:space="0" w:color="auto"/>
      </w:divBdr>
      <w:divsChild>
        <w:div w:id="686686238">
          <w:marLeft w:val="0"/>
          <w:marRight w:val="0"/>
          <w:marTop w:val="0"/>
          <w:marBottom w:val="0"/>
          <w:divBdr>
            <w:top w:val="none" w:sz="0" w:space="0" w:color="auto"/>
            <w:left w:val="none" w:sz="0" w:space="0" w:color="auto"/>
            <w:bottom w:val="none" w:sz="0" w:space="0" w:color="auto"/>
            <w:right w:val="none" w:sz="0" w:space="0" w:color="auto"/>
          </w:divBdr>
        </w:div>
        <w:div w:id="127745316">
          <w:marLeft w:val="0"/>
          <w:marRight w:val="0"/>
          <w:marTop w:val="0"/>
          <w:marBottom w:val="0"/>
          <w:divBdr>
            <w:top w:val="none" w:sz="0" w:space="0" w:color="auto"/>
            <w:left w:val="none" w:sz="0" w:space="0" w:color="auto"/>
            <w:bottom w:val="none" w:sz="0" w:space="0" w:color="auto"/>
            <w:right w:val="none" w:sz="0" w:space="0" w:color="auto"/>
          </w:divBdr>
        </w:div>
        <w:div w:id="424614776">
          <w:marLeft w:val="0"/>
          <w:marRight w:val="0"/>
          <w:marTop w:val="0"/>
          <w:marBottom w:val="0"/>
          <w:divBdr>
            <w:top w:val="none" w:sz="0" w:space="0" w:color="auto"/>
            <w:left w:val="none" w:sz="0" w:space="0" w:color="auto"/>
            <w:bottom w:val="none" w:sz="0" w:space="0" w:color="auto"/>
            <w:right w:val="none" w:sz="0" w:space="0" w:color="auto"/>
          </w:divBdr>
        </w:div>
      </w:divsChild>
    </w:div>
    <w:div w:id="1285889443">
      <w:bodyDiv w:val="1"/>
      <w:marLeft w:val="0"/>
      <w:marRight w:val="0"/>
      <w:marTop w:val="0"/>
      <w:marBottom w:val="0"/>
      <w:divBdr>
        <w:top w:val="none" w:sz="0" w:space="0" w:color="auto"/>
        <w:left w:val="none" w:sz="0" w:space="0" w:color="auto"/>
        <w:bottom w:val="none" w:sz="0" w:space="0" w:color="auto"/>
        <w:right w:val="none" w:sz="0" w:space="0" w:color="auto"/>
      </w:divBdr>
      <w:divsChild>
        <w:div w:id="581454756">
          <w:marLeft w:val="0"/>
          <w:marRight w:val="0"/>
          <w:marTop w:val="0"/>
          <w:marBottom w:val="0"/>
          <w:divBdr>
            <w:top w:val="none" w:sz="0" w:space="0" w:color="auto"/>
            <w:left w:val="none" w:sz="0" w:space="0" w:color="auto"/>
            <w:bottom w:val="none" w:sz="0" w:space="0" w:color="auto"/>
            <w:right w:val="none" w:sz="0" w:space="0" w:color="auto"/>
          </w:divBdr>
        </w:div>
        <w:div w:id="1600989409">
          <w:marLeft w:val="0"/>
          <w:marRight w:val="0"/>
          <w:marTop w:val="240"/>
          <w:marBottom w:val="0"/>
          <w:divBdr>
            <w:top w:val="none" w:sz="0" w:space="0" w:color="auto"/>
            <w:left w:val="none" w:sz="0" w:space="0" w:color="auto"/>
            <w:bottom w:val="none" w:sz="0" w:space="0" w:color="auto"/>
            <w:right w:val="none" w:sz="0" w:space="0" w:color="auto"/>
          </w:divBdr>
        </w:div>
        <w:div w:id="1241254200">
          <w:marLeft w:val="0"/>
          <w:marRight w:val="0"/>
          <w:marTop w:val="240"/>
          <w:marBottom w:val="0"/>
          <w:divBdr>
            <w:top w:val="none" w:sz="0" w:space="0" w:color="auto"/>
            <w:left w:val="none" w:sz="0" w:space="0" w:color="auto"/>
            <w:bottom w:val="none" w:sz="0" w:space="0" w:color="auto"/>
            <w:right w:val="none" w:sz="0" w:space="0" w:color="auto"/>
          </w:divBdr>
        </w:div>
        <w:div w:id="84312984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perpile.com/b/pTfdo1/Yg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paperpile.com/b/pTfdo1/Yg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x.doi.org/10.1016/j.rvsc.2022.09.017" TargetMode="External"/><Relationship Id="rId5" Type="http://schemas.openxmlformats.org/officeDocument/2006/relationships/webSettings" Target="webSettings.xml"/><Relationship Id="rId10" Type="http://schemas.openxmlformats.org/officeDocument/2006/relationships/hyperlink" Target="http://paperpile.com/b/pTfdo1/YgRy" TargetMode="External"/><Relationship Id="rId4" Type="http://schemas.openxmlformats.org/officeDocument/2006/relationships/settings" Target="settings.xml"/><Relationship Id="rId9" Type="http://schemas.openxmlformats.org/officeDocument/2006/relationships/hyperlink" Target="http://paperpile.com/b/pTfdo1/Yg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D2DF2-044F-E740-9467-4C05FE07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Chessa Brown</dc:creator>
  <cp:keywords/>
  <dc:description/>
  <cp:lastModifiedBy>Chessa Brown</cp:lastModifiedBy>
  <cp:revision>2</cp:revision>
  <dcterms:created xsi:type="dcterms:W3CDTF">2025-11-02T03:53:00Z</dcterms:created>
  <dcterms:modified xsi:type="dcterms:W3CDTF">2025-11-02T03:53:00Z</dcterms:modified>
</cp:coreProperties>
</file>