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5145D0" w14:textId="5C58D454" w:rsidR="00B85271" w:rsidRPr="00B85271" w:rsidRDefault="00B85271" w:rsidP="00B85271">
      <w:pPr>
        <w:suppressLineNumbers/>
        <w:spacing w:line="240" w:lineRule="auto"/>
        <w:rPr>
          <w:rFonts w:ascii="Arial" w:hAnsi="Arial" w:cs="Arial"/>
          <w:lang w:val="en-IN"/>
        </w:rPr>
      </w:pPr>
      <w:bookmarkStart w:id="0" w:name="_Hlk212884714"/>
      <w:r w:rsidRPr="00B85271">
        <w:rPr>
          <w:rFonts w:ascii="Arial" w:hAnsi="Arial" w:cs="Arial"/>
          <w:lang w:val="en-IN"/>
        </w:rPr>
        <w:t xml:space="preserve">Arthroscopy-Assisted Bilateral </w:t>
      </w:r>
      <w:r w:rsidR="008F28C5">
        <w:rPr>
          <w:rFonts w:ascii="Arial" w:hAnsi="Arial" w:cs="Arial"/>
          <w:lang w:val="en-IN"/>
        </w:rPr>
        <w:t>Tightrope</w:t>
      </w:r>
      <w:r w:rsidR="00172BD2">
        <w:rPr>
          <w:rFonts w:ascii="Arial" w:hAnsi="Arial" w:cs="Arial"/>
          <w:lang w:val="en-IN"/>
        </w:rPr>
        <w:t xml:space="preserve"> Toggle Pin</w:t>
      </w:r>
      <w:r w:rsidRPr="00B85271">
        <w:rPr>
          <w:rFonts w:ascii="Arial" w:hAnsi="Arial" w:cs="Arial"/>
          <w:lang w:val="en-IN"/>
        </w:rPr>
        <w:t xml:space="preserve"> Fixation for Traumatic Bilateral </w:t>
      </w:r>
      <w:proofErr w:type="spellStart"/>
      <w:r w:rsidRPr="00B85271">
        <w:rPr>
          <w:rFonts w:ascii="Arial" w:hAnsi="Arial" w:cs="Arial"/>
          <w:lang w:val="en-IN"/>
        </w:rPr>
        <w:t>Coxofemoral</w:t>
      </w:r>
      <w:proofErr w:type="spellEnd"/>
      <w:r w:rsidRPr="00B85271">
        <w:rPr>
          <w:rFonts w:ascii="Arial" w:hAnsi="Arial" w:cs="Arial"/>
          <w:lang w:val="en-IN"/>
        </w:rPr>
        <w:t xml:space="preserve"> Luxation in a Large-Breed Dog</w:t>
      </w:r>
      <w:r w:rsidRPr="00B85271">
        <w:rPr>
          <w:rFonts w:ascii="Arial" w:hAnsi="Arial" w:cs="Arial"/>
          <w:lang w:val="en-IN"/>
        </w:rPr>
        <w:t>: A case report</w:t>
      </w:r>
    </w:p>
    <w:bookmarkEnd w:id="0"/>
    <w:p w14:paraId="6B6B646A" w14:textId="77777777" w:rsidR="00770CDE" w:rsidRPr="00B85271" w:rsidRDefault="00770CDE" w:rsidP="00770CDE">
      <w:pPr>
        <w:rPr>
          <w:rFonts w:ascii="Arial" w:hAnsi="Arial" w:cs="Arial"/>
        </w:rPr>
      </w:pPr>
      <w:r w:rsidRPr="00B85271">
        <w:rPr>
          <w:rFonts w:ascii="Arial" w:hAnsi="Arial" w:cs="Arial"/>
        </w:rPr>
        <w:t xml:space="preserve">CASE REPORT: </w:t>
      </w:r>
    </w:p>
    <w:p w14:paraId="117C7F90" w14:textId="0BC5984B" w:rsidR="00770CDE" w:rsidRPr="00B85271" w:rsidRDefault="00770CDE" w:rsidP="00B85271">
      <w:pPr>
        <w:rPr>
          <w:rFonts w:ascii="Arial" w:hAnsi="Arial" w:cs="Arial"/>
        </w:rPr>
      </w:pPr>
      <w:r w:rsidRPr="00B85271">
        <w:rPr>
          <w:rFonts w:ascii="Arial" w:hAnsi="Arial" w:cs="Arial"/>
        </w:rPr>
        <w:t xml:space="preserve">INTRODUCTION: </w:t>
      </w:r>
      <w:r w:rsidR="001C35AB" w:rsidRPr="00B85271">
        <w:rPr>
          <w:rFonts w:ascii="Arial" w:hAnsi="Arial" w:cs="Arial"/>
        </w:rPr>
        <w:t xml:space="preserve">Coxofemoral luxation is a common sequela of high-impact trauma in dogs, with craniodorsal displacement being the most prevalent. Bilateral </w:t>
      </w:r>
      <w:proofErr w:type="gramStart"/>
      <w:r w:rsidR="001C35AB" w:rsidRPr="00B85271">
        <w:rPr>
          <w:rFonts w:ascii="Arial" w:hAnsi="Arial" w:cs="Arial"/>
        </w:rPr>
        <w:t>luxation</w:t>
      </w:r>
      <w:proofErr w:type="gramEnd"/>
      <w:r w:rsidR="001C35AB" w:rsidRPr="00B85271">
        <w:rPr>
          <w:rFonts w:ascii="Arial" w:hAnsi="Arial" w:cs="Arial"/>
        </w:rPr>
        <w:t xml:space="preserve"> </w:t>
      </w:r>
      <w:r w:rsidR="00B85271">
        <w:rPr>
          <w:rFonts w:ascii="Arial" w:hAnsi="Arial" w:cs="Arial"/>
        </w:rPr>
        <w:t xml:space="preserve">are rare, with </w:t>
      </w:r>
      <w:r w:rsidR="001C35AB" w:rsidRPr="00B85271">
        <w:rPr>
          <w:rFonts w:ascii="Arial" w:hAnsi="Arial" w:cs="Arial"/>
        </w:rPr>
        <w:t xml:space="preserve">opposing-directional </w:t>
      </w:r>
      <w:proofErr w:type="spellStart"/>
      <w:r w:rsidR="001C35AB" w:rsidRPr="00B85271">
        <w:rPr>
          <w:rFonts w:ascii="Arial" w:hAnsi="Arial" w:cs="Arial"/>
        </w:rPr>
        <w:t>luxations</w:t>
      </w:r>
      <w:proofErr w:type="spellEnd"/>
      <w:r w:rsidR="00B85271">
        <w:rPr>
          <w:rFonts w:ascii="Arial" w:hAnsi="Arial" w:cs="Arial"/>
        </w:rPr>
        <w:t xml:space="preserve"> (</w:t>
      </w:r>
      <w:r w:rsidR="001C35AB" w:rsidRPr="00B85271">
        <w:rPr>
          <w:rFonts w:ascii="Arial" w:hAnsi="Arial" w:cs="Arial"/>
        </w:rPr>
        <w:t>one craniodorsal and one caudoventral</w:t>
      </w:r>
      <w:r w:rsidR="00B85271">
        <w:rPr>
          <w:rFonts w:ascii="Arial" w:hAnsi="Arial" w:cs="Arial"/>
        </w:rPr>
        <w:t xml:space="preserve">) </w:t>
      </w:r>
      <w:r w:rsidR="001C35AB" w:rsidRPr="00B85271">
        <w:rPr>
          <w:rFonts w:ascii="Arial" w:hAnsi="Arial" w:cs="Arial"/>
        </w:rPr>
        <w:t xml:space="preserve">exceedingly uncommon. Surgical stabilization with toggle pin fixation provides joint preservation </w:t>
      </w:r>
      <w:r w:rsidR="00B85271">
        <w:rPr>
          <w:rFonts w:ascii="Arial" w:hAnsi="Arial" w:cs="Arial"/>
        </w:rPr>
        <w:t>for</w:t>
      </w:r>
      <w:r w:rsidR="001C35AB" w:rsidRPr="00B85271">
        <w:rPr>
          <w:rFonts w:ascii="Arial" w:hAnsi="Arial" w:cs="Arial"/>
        </w:rPr>
        <w:t xml:space="preserve"> early functional recovery</w:t>
      </w:r>
      <w:r w:rsidR="00B85271">
        <w:rPr>
          <w:rFonts w:ascii="Arial" w:hAnsi="Arial" w:cs="Arial"/>
        </w:rPr>
        <w:t xml:space="preserve">. Its </w:t>
      </w:r>
      <w:r w:rsidR="001C35AB" w:rsidRPr="00B85271">
        <w:rPr>
          <w:rFonts w:ascii="Arial" w:hAnsi="Arial" w:cs="Arial"/>
        </w:rPr>
        <w:t xml:space="preserve">arthroscopy-assisted application has </w:t>
      </w:r>
      <w:r w:rsidR="00B85271">
        <w:rPr>
          <w:rFonts w:ascii="Arial" w:hAnsi="Arial" w:cs="Arial"/>
        </w:rPr>
        <w:t xml:space="preserve">only been reported as a feasibility study in an experimental setting. </w:t>
      </w:r>
      <w:r w:rsidR="001C35AB" w:rsidRPr="00B85271">
        <w:rPr>
          <w:rFonts w:ascii="Arial" w:hAnsi="Arial" w:cs="Arial"/>
        </w:rPr>
        <w:t xml:space="preserve">This case </w:t>
      </w:r>
      <w:r w:rsidR="00B85271">
        <w:rPr>
          <w:rFonts w:ascii="Arial" w:hAnsi="Arial" w:cs="Arial"/>
        </w:rPr>
        <w:t xml:space="preserve">report </w:t>
      </w:r>
      <w:r w:rsidR="001C35AB" w:rsidRPr="00B85271">
        <w:rPr>
          <w:rFonts w:ascii="Arial" w:hAnsi="Arial" w:cs="Arial"/>
        </w:rPr>
        <w:t xml:space="preserve">describes a </w:t>
      </w:r>
      <w:r w:rsidR="00B85271">
        <w:rPr>
          <w:rFonts w:ascii="Arial" w:hAnsi="Arial" w:cs="Arial"/>
        </w:rPr>
        <w:t>single-surgery bilateral</w:t>
      </w:r>
      <w:r w:rsidR="001C35AB" w:rsidRPr="00B85271">
        <w:rPr>
          <w:rFonts w:ascii="Arial" w:hAnsi="Arial" w:cs="Arial"/>
        </w:rPr>
        <w:t xml:space="preserve"> arthroscopy-assisted toggle pin fixation in a </w:t>
      </w:r>
      <w:r w:rsidR="00B85271">
        <w:rPr>
          <w:rFonts w:ascii="Arial" w:hAnsi="Arial" w:cs="Arial"/>
        </w:rPr>
        <w:t xml:space="preserve">large breed </w:t>
      </w:r>
      <w:r w:rsidR="001C35AB" w:rsidRPr="00B85271">
        <w:rPr>
          <w:rFonts w:ascii="Arial" w:hAnsi="Arial" w:cs="Arial"/>
        </w:rPr>
        <w:t xml:space="preserve">dog with opposing-direction </w:t>
      </w:r>
      <w:proofErr w:type="spellStart"/>
      <w:r w:rsidR="001C35AB" w:rsidRPr="00B85271">
        <w:rPr>
          <w:rFonts w:ascii="Arial" w:hAnsi="Arial" w:cs="Arial"/>
        </w:rPr>
        <w:t>coxofemoral</w:t>
      </w:r>
      <w:proofErr w:type="spellEnd"/>
      <w:r w:rsidR="001C35AB" w:rsidRPr="00B85271">
        <w:rPr>
          <w:rFonts w:ascii="Arial" w:hAnsi="Arial" w:cs="Arial"/>
        </w:rPr>
        <w:t xml:space="preserve"> </w:t>
      </w:r>
      <w:proofErr w:type="spellStart"/>
      <w:r w:rsidR="001C35AB" w:rsidRPr="00B85271">
        <w:rPr>
          <w:rFonts w:ascii="Arial" w:hAnsi="Arial" w:cs="Arial"/>
        </w:rPr>
        <w:t>luxations</w:t>
      </w:r>
      <w:proofErr w:type="spellEnd"/>
      <w:r w:rsidR="001C35AB" w:rsidRPr="00B85271">
        <w:rPr>
          <w:rFonts w:ascii="Arial" w:hAnsi="Arial" w:cs="Arial"/>
        </w:rPr>
        <w:t>, emphasizing the advantages of arthroscopic guidance for precision</w:t>
      </w:r>
      <w:r w:rsidR="00B85271">
        <w:rPr>
          <w:rFonts w:ascii="Arial" w:hAnsi="Arial" w:cs="Arial"/>
        </w:rPr>
        <w:t xml:space="preserve"> placement of the implant and </w:t>
      </w:r>
      <w:r w:rsidR="001C35AB" w:rsidRPr="00B85271">
        <w:rPr>
          <w:rFonts w:ascii="Arial" w:hAnsi="Arial" w:cs="Arial"/>
        </w:rPr>
        <w:t xml:space="preserve">joint </w:t>
      </w:r>
      <w:r w:rsidR="00B85271">
        <w:rPr>
          <w:rFonts w:ascii="Arial" w:hAnsi="Arial" w:cs="Arial"/>
        </w:rPr>
        <w:t xml:space="preserve">evaluation. The case report also provides evidence that toggle pin fixation can be successfully performed bilaterally in large breed dogs. </w:t>
      </w:r>
    </w:p>
    <w:p w14:paraId="62B1218D" w14:textId="77777777" w:rsidR="000E43E6" w:rsidRDefault="00770CDE" w:rsidP="001C35AB">
      <w:pPr>
        <w:rPr>
          <w:rFonts w:ascii="Arial" w:hAnsi="Arial" w:cs="Arial"/>
        </w:rPr>
      </w:pPr>
      <w:r w:rsidRPr="00B85271">
        <w:rPr>
          <w:rFonts w:ascii="Arial" w:hAnsi="Arial" w:cs="Arial"/>
        </w:rPr>
        <w:t>CASE REPORT:</w:t>
      </w:r>
      <w:r w:rsidR="001C35AB" w:rsidRPr="00B85271">
        <w:rPr>
          <w:rFonts w:ascii="Arial" w:hAnsi="Arial" w:cs="Arial"/>
        </w:rPr>
        <w:t xml:space="preserve"> A 4-year-old male neutered Akita mix (38.6 kilograms) was referred</w:t>
      </w:r>
      <w:r w:rsidR="008F28C5">
        <w:rPr>
          <w:rFonts w:ascii="Arial" w:hAnsi="Arial" w:cs="Arial"/>
        </w:rPr>
        <w:t xml:space="preserve"> to XXXX </w:t>
      </w:r>
      <w:r w:rsidR="001C35AB" w:rsidRPr="00B85271">
        <w:rPr>
          <w:rFonts w:ascii="Arial" w:hAnsi="Arial" w:cs="Arial"/>
        </w:rPr>
        <w:t>following motor vehicle trauma that resulted in</w:t>
      </w:r>
      <w:r w:rsidR="008F28C5">
        <w:rPr>
          <w:rFonts w:ascii="Arial" w:hAnsi="Arial" w:cs="Arial"/>
        </w:rPr>
        <w:t xml:space="preserve"> a</w:t>
      </w:r>
      <w:r w:rsidR="001C35AB" w:rsidRPr="00B85271">
        <w:rPr>
          <w:rFonts w:ascii="Arial" w:hAnsi="Arial" w:cs="Arial"/>
        </w:rPr>
        <w:t xml:space="preserve"> bilateral non-weight-bearing lameness. Orthogonal pelvic</w:t>
      </w:r>
      <w:r w:rsidR="008F28C5">
        <w:rPr>
          <w:rFonts w:ascii="Arial" w:hAnsi="Arial" w:cs="Arial"/>
        </w:rPr>
        <w:t xml:space="preserve"> limb</w:t>
      </w:r>
      <w:r w:rsidR="001C35AB" w:rsidRPr="00B85271">
        <w:rPr>
          <w:rFonts w:ascii="Arial" w:hAnsi="Arial" w:cs="Arial"/>
        </w:rPr>
        <w:t xml:space="preserve"> radiographs confirmed a right craniodorsal and left caudoventral coxofemoral luxation. Closed reduction was attempted but failed, with bilateral reluxation observed within 48 hours.</w:t>
      </w:r>
      <w:r w:rsidR="008F28C5">
        <w:rPr>
          <w:rFonts w:ascii="Arial" w:hAnsi="Arial" w:cs="Arial"/>
        </w:rPr>
        <w:t xml:space="preserve"> Surgical stabilization was therefore recommended and pursued. T</w:t>
      </w:r>
      <w:r w:rsidR="001C35AB" w:rsidRPr="00B85271">
        <w:rPr>
          <w:rFonts w:ascii="Arial" w:hAnsi="Arial" w:cs="Arial"/>
        </w:rPr>
        <w:t>he patient underwent bilateral open reduction and internal fixation with toggle pin constructs, performed sequentially in a single anesthetic event. Arthroscopic assistance was used for both procedures</w:t>
      </w:r>
      <w:r w:rsidR="008F28C5">
        <w:rPr>
          <w:rFonts w:ascii="Arial" w:hAnsi="Arial" w:cs="Arial"/>
        </w:rPr>
        <w:t xml:space="preserve"> to guide implant placement.</w:t>
      </w:r>
    </w:p>
    <w:p w14:paraId="007CB0D5" w14:textId="655A388E" w:rsidR="001C35AB" w:rsidRPr="00B85271" w:rsidRDefault="001C35AB" w:rsidP="001C35AB">
      <w:pPr>
        <w:rPr>
          <w:rFonts w:ascii="Arial" w:hAnsi="Arial" w:cs="Arial"/>
        </w:rPr>
      </w:pPr>
      <w:r w:rsidRPr="00B85271">
        <w:rPr>
          <w:rFonts w:ascii="Arial" w:hAnsi="Arial" w:cs="Arial"/>
        </w:rPr>
        <w:t>With the patient in left lateral recumbency, a standard cranio</w:t>
      </w:r>
      <w:r w:rsidR="008F28C5">
        <w:rPr>
          <w:rFonts w:ascii="Arial" w:hAnsi="Arial" w:cs="Arial"/>
        </w:rPr>
        <w:t>dorsal</w:t>
      </w:r>
      <w:r w:rsidRPr="00B85271">
        <w:rPr>
          <w:rFonts w:ascii="Arial" w:hAnsi="Arial" w:cs="Arial"/>
        </w:rPr>
        <w:t xml:space="preserve"> approach</w:t>
      </w:r>
      <w:r w:rsidR="000E43E6">
        <w:rPr>
          <w:rFonts w:ascii="Arial" w:hAnsi="Arial" w:cs="Arial"/>
        </w:rPr>
        <w:t xml:space="preserve"> to the hip</w:t>
      </w:r>
      <w:r w:rsidRPr="00B85271">
        <w:rPr>
          <w:rFonts w:ascii="Arial" w:hAnsi="Arial" w:cs="Arial"/>
        </w:rPr>
        <w:t xml:space="preserve"> was performed. </w:t>
      </w:r>
      <w:r w:rsidR="008F28C5">
        <w:rPr>
          <w:rFonts w:ascii="Arial" w:hAnsi="Arial" w:cs="Arial"/>
        </w:rPr>
        <w:t xml:space="preserve">A limited arthrotomy was performed, with a 2.3mm </w:t>
      </w:r>
      <w:proofErr w:type="gramStart"/>
      <w:r w:rsidR="008F28C5">
        <w:rPr>
          <w:rFonts w:ascii="Arial" w:hAnsi="Arial" w:cs="Arial"/>
        </w:rPr>
        <w:t>30 degree</w:t>
      </w:r>
      <w:proofErr w:type="gramEnd"/>
      <w:r w:rsidR="008F28C5">
        <w:rPr>
          <w:rFonts w:ascii="Arial" w:hAnsi="Arial" w:cs="Arial"/>
        </w:rPr>
        <w:t xml:space="preserve"> </w:t>
      </w:r>
      <w:r w:rsidRPr="00B85271">
        <w:rPr>
          <w:rFonts w:ascii="Arial" w:hAnsi="Arial" w:cs="Arial"/>
        </w:rPr>
        <w:t>arthroscope</w:t>
      </w:r>
      <w:r w:rsidR="000E43E6">
        <w:rPr>
          <w:rFonts w:ascii="Arial" w:hAnsi="Arial" w:cs="Arial"/>
        </w:rPr>
        <w:t xml:space="preserve"> inserted into the hip joint</w:t>
      </w:r>
      <w:r w:rsidRPr="00B85271">
        <w:rPr>
          <w:rFonts w:ascii="Arial" w:hAnsi="Arial" w:cs="Arial"/>
        </w:rPr>
        <w:t xml:space="preserve"> allow</w:t>
      </w:r>
      <w:r w:rsidR="008F28C5">
        <w:rPr>
          <w:rFonts w:ascii="Arial" w:hAnsi="Arial" w:cs="Arial"/>
        </w:rPr>
        <w:t>ing</w:t>
      </w:r>
      <w:r w:rsidRPr="00B85271">
        <w:rPr>
          <w:rFonts w:ascii="Arial" w:hAnsi="Arial" w:cs="Arial"/>
        </w:rPr>
        <w:t xml:space="preserve"> direct visualization of the </w:t>
      </w:r>
      <w:r w:rsidR="008F28C5">
        <w:rPr>
          <w:rFonts w:ascii="Arial" w:hAnsi="Arial" w:cs="Arial"/>
        </w:rPr>
        <w:t xml:space="preserve">femoral head and </w:t>
      </w:r>
      <w:r w:rsidRPr="00B85271">
        <w:rPr>
          <w:rFonts w:ascii="Arial" w:hAnsi="Arial" w:cs="Arial"/>
        </w:rPr>
        <w:t xml:space="preserve">acetabular fossa, confirming complete </w:t>
      </w:r>
      <w:r w:rsidR="008F28C5">
        <w:rPr>
          <w:rFonts w:ascii="Arial" w:hAnsi="Arial" w:cs="Arial"/>
        </w:rPr>
        <w:t xml:space="preserve">rupture of the ligament of the femoral head. </w:t>
      </w:r>
      <w:r w:rsidRPr="00B85271">
        <w:rPr>
          <w:rFonts w:ascii="Arial" w:hAnsi="Arial" w:cs="Arial"/>
        </w:rPr>
        <w:t xml:space="preserve">Arthroscopic debridement </w:t>
      </w:r>
      <w:r w:rsidR="008F28C5">
        <w:rPr>
          <w:rFonts w:ascii="Arial" w:hAnsi="Arial" w:cs="Arial"/>
        </w:rPr>
        <w:t xml:space="preserve">of the ligament </w:t>
      </w:r>
      <w:r w:rsidRPr="00B85271">
        <w:rPr>
          <w:rFonts w:ascii="Arial" w:hAnsi="Arial" w:cs="Arial"/>
        </w:rPr>
        <w:t>was performed with a motorized shaver</w:t>
      </w:r>
      <w:r w:rsidR="008F28C5">
        <w:rPr>
          <w:rFonts w:ascii="Arial" w:hAnsi="Arial" w:cs="Arial"/>
        </w:rPr>
        <w:t xml:space="preserve"> to allow for better seating of the head within the acetabulum. The C-shaped drill guide for the femoral tunnel was placed under arthroscopic guidance on the femoral head. </w:t>
      </w:r>
      <w:r w:rsidR="000E43E6">
        <w:rPr>
          <w:rFonts w:ascii="Arial" w:hAnsi="Arial" w:cs="Arial"/>
        </w:rPr>
        <w:t>A</w:t>
      </w:r>
      <w:r w:rsidR="008F28C5">
        <w:rPr>
          <w:rFonts w:ascii="Arial" w:hAnsi="Arial" w:cs="Arial"/>
        </w:rPr>
        <w:t xml:space="preserve"> drill guide for the acetabular tunnel was placed under arthroscopic visualization. Both tunnels were drilled under arthroscopic </w:t>
      </w:r>
      <w:r w:rsidR="000E43E6">
        <w:rPr>
          <w:rFonts w:ascii="Arial" w:hAnsi="Arial" w:cs="Arial"/>
        </w:rPr>
        <w:t>visualization</w:t>
      </w:r>
      <w:r w:rsidR="008F28C5">
        <w:rPr>
          <w:rFonts w:ascii="Arial" w:hAnsi="Arial" w:cs="Arial"/>
        </w:rPr>
        <w:t>.</w:t>
      </w:r>
      <w:r w:rsidR="000E43E6">
        <w:rPr>
          <w:rFonts w:ascii="Arial" w:hAnsi="Arial" w:cs="Arial"/>
        </w:rPr>
        <w:t xml:space="preserve"> The Arthrex Tightrope system was used, with a</w:t>
      </w:r>
      <w:r w:rsidRPr="00B85271">
        <w:rPr>
          <w:rFonts w:ascii="Arial" w:hAnsi="Arial" w:cs="Arial"/>
        </w:rPr>
        <w:t xml:space="preserve"> two-hole toggle </w:t>
      </w:r>
      <w:r w:rsidR="000E43E6">
        <w:rPr>
          <w:rFonts w:ascii="Arial" w:hAnsi="Arial" w:cs="Arial"/>
        </w:rPr>
        <w:t xml:space="preserve">pin </w:t>
      </w:r>
      <w:r w:rsidRPr="00B85271">
        <w:rPr>
          <w:rFonts w:ascii="Arial" w:hAnsi="Arial" w:cs="Arial"/>
        </w:rPr>
        <w:t xml:space="preserve">preloaded with </w:t>
      </w:r>
      <w:r w:rsidR="000E43E6">
        <w:rPr>
          <w:rFonts w:ascii="Arial" w:hAnsi="Arial" w:cs="Arial"/>
        </w:rPr>
        <w:t xml:space="preserve">Arthrex </w:t>
      </w:r>
      <w:proofErr w:type="spellStart"/>
      <w:r w:rsidRPr="00B85271">
        <w:rPr>
          <w:rFonts w:ascii="Arial" w:hAnsi="Arial" w:cs="Arial"/>
        </w:rPr>
        <w:t>FiberTape</w:t>
      </w:r>
      <w:proofErr w:type="spellEnd"/>
      <w:r w:rsidRPr="00B85271">
        <w:rPr>
          <w:rFonts w:ascii="Arial" w:hAnsi="Arial" w:cs="Arial"/>
        </w:rPr>
        <w:t xml:space="preserve"> </w:t>
      </w:r>
      <w:r w:rsidR="000E43E6">
        <w:rPr>
          <w:rFonts w:ascii="Arial" w:hAnsi="Arial" w:cs="Arial"/>
        </w:rPr>
        <w:t xml:space="preserve">and </w:t>
      </w:r>
      <w:r w:rsidRPr="00B85271">
        <w:rPr>
          <w:rFonts w:ascii="Arial" w:hAnsi="Arial" w:cs="Arial"/>
        </w:rPr>
        <w:t xml:space="preserve">passed through the acetabular tunnel and seated securely. The </w:t>
      </w:r>
      <w:r w:rsidR="000E43E6">
        <w:rPr>
          <w:rFonts w:ascii="Arial" w:hAnsi="Arial" w:cs="Arial"/>
        </w:rPr>
        <w:t xml:space="preserve">rest of the tape was threaded through the femoral tunnel and </w:t>
      </w:r>
      <w:r w:rsidRPr="00B85271">
        <w:rPr>
          <w:rFonts w:ascii="Arial" w:hAnsi="Arial" w:cs="Arial"/>
        </w:rPr>
        <w:t xml:space="preserve">secured laterally </w:t>
      </w:r>
      <w:r w:rsidR="000E43E6">
        <w:rPr>
          <w:rFonts w:ascii="Arial" w:hAnsi="Arial" w:cs="Arial"/>
        </w:rPr>
        <w:t xml:space="preserve">onto a </w:t>
      </w:r>
      <w:r w:rsidRPr="00B85271">
        <w:rPr>
          <w:rFonts w:ascii="Arial" w:hAnsi="Arial" w:cs="Arial"/>
        </w:rPr>
        <w:t>four-hole button. Reduction was confirmed</w:t>
      </w:r>
      <w:r w:rsidR="000E43E6">
        <w:rPr>
          <w:rFonts w:ascii="Arial" w:hAnsi="Arial" w:cs="Arial"/>
        </w:rPr>
        <w:t xml:space="preserve"> and range of motion </w:t>
      </w:r>
      <w:proofErr w:type="gramStart"/>
      <w:r w:rsidR="000E43E6">
        <w:rPr>
          <w:rFonts w:ascii="Arial" w:hAnsi="Arial" w:cs="Arial"/>
        </w:rPr>
        <w:t>deemed</w:t>
      </w:r>
      <w:proofErr w:type="gramEnd"/>
      <w:r w:rsidR="000E43E6">
        <w:rPr>
          <w:rFonts w:ascii="Arial" w:hAnsi="Arial" w:cs="Arial"/>
        </w:rPr>
        <w:t xml:space="preserve"> appropriate</w:t>
      </w:r>
      <w:r w:rsidRPr="00B85271">
        <w:rPr>
          <w:rFonts w:ascii="Arial" w:hAnsi="Arial" w:cs="Arial"/>
        </w:rPr>
        <w:t xml:space="preserve">. </w:t>
      </w:r>
      <w:r w:rsidR="000E43E6">
        <w:rPr>
          <w:rFonts w:ascii="Arial" w:hAnsi="Arial" w:cs="Arial"/>
        </w:rPr>
        <w:t>C</w:t>
      </w:r>
      <w:r w:rsidRPr="00B85271">
        <w:rPr>
          <w:rFonts w:ascii="Arial" w:hAnsi="Arial" w:cs="Arial"/>
        </w:rPr>
        <w:t xml:space="preserve">losure was performed routinely, and Nocita was instilled </w:t>
      </w:r>
      <w:proofErr w:type="gramStart"/>
      <w:r w:rsidRPr="00B85271">
        <w:rPr>
          <w:rFonts w:ascii="Arial" w:hAnsi="Arial" w:cs="Arial"/>
        </w:rPr>
        <w:t>peri-</w:t>
      </w:r>
      <w:proofErr w:type="spellStart"/>
      <w:r w:rsidRPr="00B85271">
        <w:rPr>
          <w:rFonts w:ascii="Arial" w:hAnsi="Arial" w:cs="Arial"/>
        </w:rPr>
        <w:t>incisionally</w:t>
      </w:r>
      <w:proofErr w:type="spellEnd"/>
      <w:proofErr w:type="gramEnd"/>
      <w:r w:rsidRPr="00B85271">
        <w:rPr>
          <w:rFonts w:ascii="Arial" w:hAnsi="Arial" w:cs="Arial"/>
        </w:rPr>
        <w:t>.</w:t>
      </w:r>
      <w:r w:rsidR="000E43E6">
        <w:rPr>
          <w:rFonts w:ascii="Arial" w:hAnsi="Arial" w:cs="Arial"/>
        </w:rPr>
        <w:t xml:space="preserve"> The patient was turned and the same procedure performed on the contralateral side.</w:t>
      </w:r>
    </w:p>
    <w:p w14:paraId="5DBB5CE4" w14:textId="0FCA0AC2" w:rsidR="000E43E6" w:rsidRDefault="000E43E6" w:rsidP="004C1CEE">
      <w:pPr>
        <w:rPr>
          <w:rFonts w:ascii="Arial" w:hAnsi="Arial" w:cs="Arial"/>
        </w:rPr>
      </w:pPr>
      <w:r>
        <w:rPr>
          <w:rFonts w:ascii="Arial" w:hAnsi="Arial" w:cs="Arial"/>
        </w:rPr>
        <w:lastRenderedPageBreak/>
        <w:t>The patient recovered uneventfully. A Help-</w:t>
      </w:r>
      <w:proofErr w:type="spellStart"/>
      <w:r>
        <w:rPr>
          <w:rFonts w:ascii="Arial" w:hAnsi="Arial" w:cs="Arial"/>
        </w:rPr>
        <w:t>em</w:t>
      </w:r>
      <w:proofErr w:type="spellEnd"/>
      <w:r>
        <w:rPr>
          <w:rFonts w:ascii="Arial" w:hAnsi="Arial" w:cs="Arial"/>
        </w:rPr>
        <w:t xml:space="preserve">-up harness and non-slick flooring was advised during recovery, with activity restrictions set routinely for orthopedic procedures gradually increasing on-leash walks from 5 to </w:t>
      </w:r>
      <w:proofErr w:type="gramStart"/>
      <w:r>
        <w:rPr>
          <w:rFonts w:ascii="Arial" w:hAnsi="Arial" w:cs="Arial"/>
        </w:rPr>
        <w:t>20 minute</w:t>
      </w:r>
      <w:proofErr w:type="gramEnd"/>
      <w:r>
        <w:rPr>
          <w:rFonts w:ascii="Arial" w:hAnsi="Arial" w:cs="Arial"/>
        </w:rPr>
        <w:t xml:space="preserve"> walks over an </w:t>
      </w:r>
      <w:proofErr w:type="gramStart"/>
      <w:r>
        <w:rPr>
          <w:rFonts w:ascii="Arial" w:hAnsi="Arial" w:cs="Arial"/>
        </w:rPr>
        <w:t>8 week</w:t>
      </w:r>
      <w:proofErr w:type="gramEnd"/>
      <w:r>
        <w:rPr>
          <w:rFonts w:ascii="Arial" w:hAnsi="Arial" w:cs="Arial"/>
        </w:rPr>
        <w:t xml:space="preserve"> recovery period. At last follow-up 4 months postoperatively, as per the owner the patient had returned to full function, with no evidence of this prior injury. </w:t>
      </w:r>
    </w:p>
    <w:p w14:paraId="7D04C358" w14:textId="31B9AC26" w:rsidR="004C1CEE" w:rsidRPr="00B85271" w:rsidRDefault="004C1CEE" w:rsidP="004C1CEE">
      <w:pPr>
        <w:rPr>
          <w:rFonts w:ascii="Arial" w:hAnsi="Arial" w:cs="Arial"/>
        </w:rPr>
      </w:pPr>
      <w:r w:rsidRPr="00B85271">
        <w:rPr>
          <w:rFonts w:ascii="Arial" w:hAnsi="Arial" w:cs="Arial"/>
        </w:rPr>
        <w:t xml:space="preserve">This case represents a unique instance of opposing-direction bilateral coxofemoral luxations successfully managed via arthroscopy-assisted toggle pin fixation. </w:t>
      </w:r>
    </w:p>
    <w:p w14:paraId="25812FD0" w14:textId="4B99C84B" w:rsidR="006A3651" w:rsidRPr="00B85271" w:rsidRDefault="004C1CEE" w:rsidP="006A3651">
      <w:pPr>
        <w:rPr>
          <w:rFonts w:ascii="Arial" w:hAnsi="Arial" w:cs="Arial"/>
        </w:rPr>
      </w:pPr>
      <w:r w:rsidRPr="00B85271">
        <w:rPr>
          <w:rFonts w:ascii="Arial" w:hAnsi="Arial" w:cs="Arial"/>
        </w:rPr>
        <w:t>Arthroscopy provided multiple intraoperative advantages:</w:t>
      </w:r>
      <w:r w:rsidR="006A3651">
        <w:rPr>
          <w:rFonts w:ascii="Arial" w:hAnsi="Arial" w:cs="Arial"/>
        </w:rPr>
        <w:t xml:space="preserve"> </w:t>
      </w:r>
      <w:r w:rsidRPr="00B85271">
        <w:rPr>
          <w:rFonts w:ascii="Arial" w:hAnsi="Arial" w:cs="Arial"/>
        </w:rPr>
        <w:t>Enhanced visualization of the acetabular fossa for accurate debridement</w:t>
      </w:r>
      <w:r w:rsidR="006A3651">
        <w:rPr>
          <w:rFonts w:ascii="Arial" w:hAnsi="Arial" w:cs="Arial"/>
        </w:rPr>
        <w:t xml:space="preserve"> of the ligament of the femoral head, limited soft tissue and capsular dissection allowing for faster healing, visual guidance for both the femoral and acetabular drill-guide placement, c</w:t>
      </w:r>
      <w:r w:rsidRPr="00B85271">
        <w:rPr>
          <w:rFonts w:ascii="Arial" w:hAnsi="Arial" w:cs="Arial"/>
        </w:rPr>
        <w:t xml:space="preserve">onfirmation of toggle pin engagement </w:t>
      </w:r>
      <w:r w:rsidR="006A3651">
        <w:rPr>
          <w:rFonts w:ascii="Arial" w:hAnsi="Arial" w:cs="Arial"/>
        </w:rPr>
        <w:t xml:space="preserve">at the acetabulum and </w:t>
      </w:r>
      <w:r w:rsidRPr="00B85271">
        <w:rPr>
          <w:rFonts w:ascii="Arial" w:hAnsi="Arial" w:cs="Arial"/>
        </w:rPr>
        <w:t>reduction congruity.</w:t>
      </w:r>
    </w:p>
    <w:p w14:paraId="4D25AD05" w14:textId="6F396E08" w:rsidR="005504FC" w:rsidRDefault="004C1CEE" w:rsidP="004C1CEE">
      <w:pPr>
        <w:rPr>
          <w:rFonts w:ascii="Arial" w:hAnsi="Arial" w:cs="Arial"/>
        </w:rPr>
      </w:pPr>
      <w:r w:rsidRPr="00B85271">
        <w:rPr>
          <w:rFonts w:ascii="Arial" w:hAnsi="Arial" w:cs="Arial"/>
        </w:rPr>
        <w:t>While toggle pin fixation is an established method for unilateral coxofemoral luxation, its bilateral simultaneous application</w:t>
      </w:r>
      <w:r w:rsidR="003220C5">
        <w:rPr>
          <w:rFonts w:ascii="Arial" w:hAnsi="Arial" w:cs="Arial"/>
        </w:rPr>
        <w:t xml:space="preserve"> </w:t>
      </w:r>
      <w:r w:rsidRPr="00B85271">
        <w:rPr>
          <w:rFonts w:ascii="Arial" w:hAnsi="Arial" w:cs="Arial"/>
        </w:rPr>
        <w:t xml:space="preserve">is rarely documented. This technique enabled anatomic restoration of both joints during a single anesthetic period, facilitating early ambulation and weight bearing. </w:t>
      </w:r>
      <w:proofErr w:type="gramStart"/>
      <w:r w:rsidR="005504FC">
        <w:rPr>
          <w:rFonts w:ascii="Arial" w:hAnsi="Arial" w:cs="Arial"/>
        </w:rPr>
        <w:t>Additionally</w:t>
      </w:r>
      <w:proofErr w:type="gramEnd"/>
      <w:r w:rsidR="005504FC">
        <w:rPr>
          <w:rFonts w:ascii="Arial" w:hAnsi="Arial" w:cs="Arial"/>
        </w:rPr>
        <w:t xml:space="preserve"> we document th</w:t>
      </w:r>
      <w:r w:rsidR="005504FC">
        <w:rPr>
          <w:rFonts w:ascii="Arial" w:hAnsi="Arial" w:cs="Arial"/>
        </w:rPr>
        <w:t>at the implants</w:t>
      </w:r>
      <w:r w:rsidR="005504FC">
        <w:rPr>
          <w:rFonts w:ascii="Arial" w:hAnsi="Arial" w:cs="Arial"/>
        </w:rPr>
        <w:t xml:space="preserve"> used (Arthrex Tightrope</w:t>
      </w:r>
      <w:r w:rsidR="005504FC">
        <w:rPr>
          <w:rFonts w:ascii="Arial" w:hAnsi="Arial" w:cs="Arial"/>
        </w:rPr>
        <w:t>, categorized weight range 16-113kg</w:t>
      </w:r>
      <w:r w:rsidR="005504FC">
        <w:rPr>
          <w:rFonts w:ascii="Arial" w:hAnsi="Arial" w:cs="Arial"/>
        </w:rPr>
        <w:t xml:space="preserve">) is an appropriate material that </w:t>
      </w:r>
      <w:r w:rsidR="005504FC">
        <w:rPr>
          <w:rFonts w:ascii="Arial" w:hAnsi="Arial" w:cs="Arial"/>
        </w:rPr>
        <w:t>can</w:t>
      </w:r>
      <w:r w:rsidR="005504FC">
        <w:rPr>
          <w:rFonts w:ascii="Arial" w:hAnsi="Arial" w:cs="Arial"/>
        </w:rPr>
        <w:t xml:space="preserve"> withstand the weight of bilateral </w:t>
      </w:r>
      <w:proofErr w:type="spellStart"/>
      <w:r w:rsidR="005504FC">
        <w:rPr>
          <w:rFonts w:ascii="Arial" w:hAnsi="Arial" w:cs="Arial"/>
        </w:rPr>
        <w:t>coxofemoral</w:t>
      </w:r>
      <w:proofErr w:type="spellEnd"/>
      <w:r w:rsidR="005504FC">
        <w:rPr>
          <w:rFonts w:ascii="Arial" w:hAnsi="Arial" w:cs="Arial"/>
        </w:rPr>
        <w:t xml:space="preserve"> </w:t>
      </w:r>
      <w:r w:rsidR="005504FC">
        <w:rPr>
          <w:rFonts w:ascii="Arial" w:hAnsi="Arial" w:cs="Arial"/>
        </w:rPr>
        <w:t>repair</w:t>
      </w:r>
      <w:r w:rsidR="005504FC">
        <w:rPr>
          <w:rFonts w:ascii="Arial" w:hAnsi="Arial" w:cs="Arial"/>
        </w:rPr>
        <w:t xml:space="preserve"> in a large breed dog</w:t>
      </w:r>
      <w:r w:rsidR="005504FC">
        <w:rPr>
          <w:rFonts w:ascii="Arial" w:hAnsi="Arial" w:cs="Arial"/>
        </w:rPr>
        <w:t>.</w:t>
      </w:r>
    </w:p>
    <w:p w14:paraId="7B8C496D" w14:textId="6A6A8B75" w:rsidR="004C1CEE" w:rsidRPr="00B85271" w:rsidRDefault="003220C5" w:rsidP="004C1CEE">
      <w:pPr>
        <w:rPr>
          <w:rFonts w:ascii="Arial" w:hAnsi="Arial" w:cs="Arial"/>
        </w:rPr>
      </w:pPr>
      <w:r>
        <w:rPr>
          <w:rFonts w:ascii="Arial" w:hAnsi="Arial" w:cs="Arial"/>
        </w:rPr>
        <w:t>Arthroscopy-assisted toggle pin placement has</w:t>
      </w:r>
      <w:r w:rsidR="005504F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only been described as a feasibility-study in an experimental setting. This case report confirms its applicability in </w:t>
      </w:r>
      <w:r w:rsidR="005504FC">
        <w:rPr>
          <w:rFonts w:ascii="Arial" w:hAnsi="Arial" w:cs="Arial"/>
        </w:rPr>
        <w:t xml:space="preserve">the clinical setting </w:t>
      </w:r>
      <w:r>
        <w:rPr>
          <w:rFonts w:ascii="Arial" w:hAnsi="Arial" w:cs="Arial"/>
        </w:rPr>
        <w:t xml:space="preserve">of </w:t>
      </w:r>
      <w:proofErr w:type="spellStart"/>
      <w:r>
        <w:rPr>
          <w:rFonts w:ascii="Arial" w:hAnsi="Arial" w:cs="Arial"/>
        </w:rPr>
        <w:t>coxofemoral</w:t>
      </w:r>
      <w:proofErr w:type="spellEnd"/>
      <w:r>
        <w:rPr>
          <w:rFonts w:ascii="Arial" w:hAnsi="Arial" w:cs="Arial"/>
        </w:rPr>
        <w:t xml:space="preserve"> luxation with concurrent periarticular soft tissue trauma. </w:t>
      </w:r>
      <w:r w:rsidR="004C1CEE" w:rsidRPr="00B85271">
        <w:rPr>
          <w:rFonts w:ascii="Arial" w:hAnsi="Arial" w:cs="Arial"/>
        </w:rPr>
        <w:t>T</w:t>
      </w:r>
      <w:r>
        <w:rPr>
          <w:rFonts w:ascii="Arial" w:hAnsi="Arial" w:cs="Arial"/>
        </w:rPr>
        <w:t xml:space="preserve">heoretically the precision of drill-guide placement confirmed intraoperatively with </w:t>
      </w:r>
      <w:r w:rsidR="004C1CEE" w:rsidRPr="00B85271">
        <w:rPr>
          <w:rFonts w:ascii="Arial" w:hAnsi="Arial" w:cs="Arial"/>
        </w:rPr>
        <w:t xml:space="preserve">arthroscopy may decrease the risk of postoperative </w:t>
      </w:r>
      <w:proofErr w:type="spellStart"/>
      <w:r w:rsidR="004C1CEE" w:rsidRPr="00B85271">
        <w:rPr>
          <w:rFonts w:ascii="Arial" w:hAnsi="Arial" w:cs="Arial"/>
        </w:rPr>
        <w:t>reluxation</w:t>
      </w:r>
      <w:proofErr w:type="spellEnd"/>
      <w:r w:rsidR="004C1CEE" w:rsidRPr="00B85271">
        <w:rPr>
          <w:rFonts w:ascii="Arial" w:hAnsi="Arial" w:cs="Arial"/>
        </w:rPr>
        <w:t xml:space="preserve"> or tunnel malalignment.</w:t>
      </w:r>
      <w:r>
        <w:rPr>
          <w:rFonts w:ascii="Arial" w:hAnsi="Arial" w:cs="Arial"/>
        </w:rPr>
        <w:t xml:space="preserve"> </w:t>
      </w:r>
      <w:r w:rsidR="004C1CEE" w:rsidRPr="00B85271">
        <w:rPr>
          <w:rFonts w:ascii="Arial" w:hAnsi="Arial" w:cs="Arial"/>
        </w:rPr>
        <w:t>Potential limitations</w:t>
      </w:r>
      <w:r>
        <w:rPr>
          <w:rFonts w:ascii="Arial" w:hAnsi="Arial" w:cs="Arial"/>
        </w:rPr>
        <w:t xml:space="preserve"> for the use of this technique</w:t>
      </w:r>
      <w:r w:rsidR="004C1CEE" w:rsidRPr="00B85271">
        <w:rPr>
          <w:rFonts w:ascii="Arial" w:hAnsi="Arial" w:cs="Arial"/>
        </w:rPr>
        <w:t xml:space="preserve"> include increased surgical time and the requirement for advanced instrumentation and operator experience. Long-term monitoring is necessary to evaluate joint stability, implant endurance, and development of degenerative joint disease.</w:t>
      </w:r>
    </w:p>
    <w:p w14:paraId="1CAFCC88" w14:textId="6ADB6F51" w:rsidR="004C1CEE" w:rsidRPr="00B85271" w:rsidRDefault="004C1CEE" w:rsidP="004C1CEE">
      <w:pPr>
        <w:rPr>
          <w:rFonts w:ascii="Arial" w:hAnsi="Arial" w:cs="Arial"/>
        </w:rPr>
      </w:pPr>
      <w:r w:rsidRPr="00B85271">
        <w:rPr>
          <w:rFonts w:ascii="Arial" w:hAnsi="Arial" w:cs="Arial"/>
        </w:rPr>
        <w:t xml:space="preserve">Clinical Relevance: Arthroscopy-assisted bilateral toggle pin fixation is a feasible, precise, and joint-preserving approach for the management of </w:t>
      </w:r>
      <w:r w:rsidR="003220C5">
        <w:rPr>
          <w:rFonts w:ascii="Arial" w:hAnsi="Arial" w:cs="Arial"/>
        </w:rPr>
        <w:t xml:space="preserve">bilateral </w:t>
      </w:r>
      <w:proofErr w:type="spellStart"/>
      <w:r w:rsidRPr="00B85271">
        <w:rPr>
          <w:rFonts w:ascii="Arial" w:hAnsi="Arial" w:cs="Arial"/>
        </w:rPr>
        <w:t>coxofemoral</w:t>
      </w:r>
      <w:proofErr w:type="spellEnd"/>
      <w:r w:rsidRPr="00B85271">
        <w:rPr>
          <w:rFonts w:ascii="Arial" w:hAnsi="Arial" w:cs="Arial"/>
        </w:rPr>
        <w:t xml:space="preserve"> </w:t>
      </w:r>
      <w:proofErr w:type="spellStart"/>
      <w:r w:rsidRPr="00B85271">
        <w:rPr>
          <w:rFonts w:ascii="Arial" w:hAnsi="Arial" w:cs="Arial"/>
        </w:rPr>
        <w:t>luxations</w:t>
      </w:r>
      <w:proofErr w:type="spellEnd"/>
      <w:r w:rsidRPr="00B85271">
        <w:rPr>
          <w:rFonts w:ascii="Arial" w:hAnsi="Arial" w:cs="Arial"/>
        </w:rPr>
        <w:t xml:space="preserve"> in dogs. Arthroscopic guidance improves intra-articular visualization</w:t>
      </w:r>
      <w:r w:rsidR="003220C5">
        <w:rPr>
          <w:rFonts w:ascii="Arial" w:hAnsi="Arial" w:cs="Arial"/>
        </w:rPr>
        <w:t xml:space="preserve"> and</w:t>
      </w:r>
      <w:r w:rsidRPr="00B85271">
        <w:rPr>
          <w:rFonts w:ascii="Arial" w:hAnsi="Arial" w:cs="Arial"/>
        </w:rPr>
        <w:t xml:space="preserve"> ensures accurate tunnel placement</w:t>
      </w:r>
      <w:r w:rsidR="003220C5">
        <w:rPr>
          <w:rFonts w:ascii="Arial" w:hAnsi="Arial" w:cs="Arial"/>
        </w:rPr>
        <w:t xml:space="preserve">. </w:t>
      </w:r>
      <w:r w:rsidRPr="00B85271">
        <w:rPr>
          <w:rFonts w:ascii="Arial" w:hAnsi="Arial" w:cs="Arial"/>
        </w:rPr>
        <w:t>This case demonstrates the successful adaptation of minimally invasive orthopedic techniques for complex bilateral pelvic limb injuries.</w:t>
      </w:r>
    </w:p>
    <w:p w14:paraId="408DD1AD" w14:textId="4BB9851E" w:rsidR="00B56588" w:rsidRPr="00B85271" w:rsidRDefault="008D290A" w:rsidP="008D290A">
      <w:pPr>
        <w:rPr>
          <w:rFonts w:ascii="Arial" w:hAnsi="Arial" w:cs="Arial"/>
        </w:rPr>
      </w:pPr>
      <w:proofErr w:type="gramStart"/>
      <w:r w:rsidRPr="00B85271">
        <w:rPr>
          <w:rFonts w:ascii="Arial" w:hAnsi="Arial" w:cs="Arial"/>
        </w:rPr>
        <w:t>REFERENCES</w:t>
      </w:r>
      <w:proofErr w:type="gramEnd"/>
      <w:r w:rsidRPr="00B85271">
        <w:rPr>
          <w:rFonts w:ascii="Arial" w:hAnsi="Arial" w:cs="Arial"/>
        </w:rPr>
        <w:t>:</w:t>
      </w:r>
    </w:p>
    <w:p w14:paraId="7C683F75" w14:textId="74FEF942" w:rsidR="008D290A" w:rsidRPr="003220C5" w:rsidRDefault="00B56588" w:rsidP="003220C5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hyperlink r:id="rId5" w:history="1">
        <w:r w:rsidRPr="00B85271">
          <w:rPr>
            <w:rStyle w:val="Hyperlink"/>
            <w:rFonts w:ascii="Arial" w:hAnsi="Arial" w:cs="Arial"/>
            <w:color w:val="000000" w:themeColor="text1"/>
            <w:u w:val="none"/>
            <w:lang w:val="de-CH"/>
          </w:rPr>
          <w:t>C D Trostel</w:t>
        </w:r>
      </w:hyperlink>
      <w:r w:rsidRPr="00B85271">
        <w:rPr>
          <w:rFonts w:ascii="Arial" w:hAnsi="Arial" w:cs="Arial"/>
          <w:color w:val="000000" w:themeColor="text1"/>
          <w:vertAlign w:val="superscript"/>
          <w:lang w:val="de-CH"/>
        </w:rPr>
        <w:t> </w:t>
      </w:r>
      <w:r w:rsidRPr="00B85271">
        <w:rPr>
          <w:rFonts w:ascii="Arial" w:hAnsi="Arial" w:cs="Arial"/>
          <w:color w:val="000000" w:themeColor="text1"/>
          <w:lang w:val="de-CH"/>
        </w:rPr>
        <w:t>, </w:t>
      </w:r>
      <w:hyperlink r:id="rId6" w:history="1">
        <w:r w:rsidRPr="00B85271">
          <w:rPr>
            <w:rStyle w:val="Hyperlink"/>
            <w:rFonts w:ascii="Arial" w:hAnsi="Arial" w:cs="Arial"/>
            <w:color w:val="000000" w:themeColor="text1"/>
            <w:u w:val="none"/>
            <w:lang w:val="de-CH"/>
          </w:rPr>
          <w:t>J N Peck</w:t>
        </w:r>
      </w:hyperlink>
      <w:r w:rsidRPr="00B85271">
        <w:rPr>
          <w:rFonts w:ascii="Arial" w:hAnsi="Arial" w:cs="Arial"/>
          <w:color w:val="000000" w:themeColor="text1"/>
          <w:lang w:val="de-CH"/>
        </w:rPr>
        <w:t>, </w:t>
      </w:r>
      <w:hyperlink r:id="rId7" w:history="1">
        <w:r w:rsidRPr="00B85271">
          <w:rPr>
            <w:rStyle w:val="Hyperlink"/>
            <w:rFonts w:ascii="Arial" w:hAnsi="Arial" w:cs="Arial"/>
            <w:color w:val="000000" w:themeColor="text1"/>
            <w:u w:val="none"/>
            <w:lang w:val="de-CH"/>
          </w:rPr>
          <w:t>J J deHaan</w:t>
        </w:r>
      </w:hyperlink>
      <w:r w:rsidRPr="00B85271">
        <w:rPr>
          <w:rFonts w:ascii="Arial" w:hAnsi="Arial" w:cs="Arial"/>
          <w:lang w:val="de-CH"/>
        </w:rPr>
        <w:t xml:space="preserve">. </w:t>
      </w:r>
      <w:r w:rsidRPr="00B85271">
        <w:rPr>
          <w:rFonts w:ascii="Arial" w:hAnsi="Arial" w:cs="Arial"/>
        </w:rPr>
        <w:t xml:space="preserve">(2000) Spontaneous bilateral </w:t>
      </w:r>
      <w:proofErr w:type="spellStart"/>
      <w:r w:rsidRPr="00B85271">
        <w:rPr>
          <w:rFonts w:ascii="Arial" w:hAnsi="Arial" w:cs="Arial"/>
        </w:rPr>
        <w:t>coxofemoral</w:t>
      </w:r>
      <w:proofErr w:type="spellEnd"/>
      <w:r w:rsidRPr="00B85271">
        <w:rPr>
          <w:rFonts w:ascii="Arial" w:hAnsi="Arial" w:cs="Arial"/>
        </w:rPr>
        <w:t xml:space="preserve"> luxation in four dogs. </w:t>
      </w:r>
      <w:r w:rsidRPr="00B85271">
        <w:rPr>
          <w:rFonts w:ascii="Arial" w:hAnsi="Arial" w:cs="Arial"/>
          <w:i/>
          <w:iCs/>
        </w:rPr>
        <w:t>J Am Anim Hosp Assoc</w:t>
      </w:r>
      <w:r w:rsidR="003220C5">
        <w:rPr>
          <w:rFonts w:ascii="Arial" w:hAnsi="Arial" w:cs="Arial"/>
          <w:i/>
          <w:iCs/>
        </w:rPr>
        <w:t xml:space="preserve"> </w:t>
      </w:r>
      <w:r w:rsidRPr="00B85271">
        <w:rPr>
          <w:rFonts w:ascii="Arial" w:hAnsi="Arial" w:cs="Arial"/>
          <w:i/>
          <w:iCs/>
        </w:rPr>
        <w:t>36(3):268-76</w:t>
      </w:r>
      <w:r w:rsidR="003220C5">
        <w:rPr>
          <w:rFonts w:ascii="Arial" w:hAnsi="Arial" w:cs="Arial"/>
          <w:i/>
          <w:iCs/>
        </w:rPr>
        <w:t xml:space="preserve"> 76.</w:t>
      </w:r>
    </w:p>
    <w:p w14:paraId="2C386D50" w14:textId="2F1F3A79" w:rsidR="00B56588" w:rsidRPr="00B85271" w:rsidRDefault="00B56588" w:rsidP="008C4E25">
      <w:pPr>
        <w:pStyle w:val="ListParagraph"/>
        <w:numPr>
          <w:ilvl w:val="0"/>
          <w:numId w:val="2"/>
        </w:numPr>
        <w:rPr>
          <w:rFonts w:ascii="Arial" w:hAnsi="Arial" w:cs="Arial"/>
          <w:b/>
          <w:bCs/>
          <w:color w:val="000000" w:themeColor="text1"/>
        </w:rPr>
      </w:pPr>
      <w:hyperlink r:id="rId8" w:history="1">
        <w:r w:rsidRPr="00B85271">
          <w:rPr>
            <w:rStyle w:val="Hyperlink"/>
            <w:rFonts w:ascii="Arial" w:hAnsi="Arial" w:cs="Arial"/>
            <w:color w:val="000000" w:themeColor="text1"/>
            <w:u w:val="none"/>
          </w:rPr>
          <w:t>R A Read</w:t>
        </w:r>
      </w:hyperlink>
      <w:r w:rsidRPr="00B85271">
        <w:rPr>
          <w:rFonts w:ascii="Arial" w:hAnsi="Arial" w:cs="Arial"/>
          <w:color w:val="000000" w:themeColor="text1"/>
        </w:rPr>
        <w:t>. (1980)</w:t>
      </w:r>
      <w:r w:rsidR="008C4E25" w:rsidRPr="00B85271">
        <w:rPr>
          <w:rFonts w:ascii="Arial" w:eastAsia="Times New Roman" w:hAnsi="Arial" w:cs="Arial"/>
          <w:b/>
          <w:bCs/>
          <w:color w:val="212121"/>
          <w:kern w:val="36"/>
          <w:sz w:val="48"/>
          <w:szCs w:val="48"/>
          <w14:ligatures w14:val="none"/>
        </w:rPr>
        <w:t xml:space="preserve"> </w:t>
      </w:r>
      <w:r w:rsidR="008C4E25" w:rsidRPr="00B85271">
        <w:rPr>
          <w:rFonts w:ascii="Arial" w:hAnsi="Arial" w:cs="Arial"/>
          <w:color w:val="000000" w:themeColor="text1"/>
        </w:rPr>
        <w:t>Bilateral coxofemoral luxation in a dog: a case report</w:t>
      </w:r>
      <w:r w:rsidRPr="00B85271">
        <w:rPr>
          <w:rFonts w:ascii="Arial" w:hAnsi="Arial" w:cs="Arial"/>
          <w:color w:val="000000" w:themeColor="text1"/>
        </w:rPr>
        <w:t xml:space="preserve"> </w:t>
      </w:r>
    </w:p>
    <w:p w14:paraId="02E559DF" w14:textId="7505736B" w:rsidR="00B56588" w:rsidRPr="00B85271" w:rsidRDefault="00B56588" w:rsidP="00B56588">
      <w:pPr>
        <w:pStyle w:val="ListParagraph"/>
        <w:rPr>
          <w:rFonts w:ascii="Arial" w:hAnsi="Arial" w:cs="Arial"/>
          <w:color w:val="000000" w:themeColor="text1"/>
        </w:rPr>
      </w:pPr>
      <w:r w:rsidRPr="00B85271">
        <w:rPr>
          <w:rFonts w:ascii="Arial" w:hAnsi="Arial" w:cs="Arial"/>
          <w:i/>
          <w:iCs/>
          <w:color w:val="000000" w:themeColor="text1"/>
        </w:rPr>
        <w:t xml:space="preserve">J Small Anim </w:t>
      </w:r>
      <w:proofErr w:type="spellStart"/>
      <w:r w:rsidRPr="00B85271">
        <w:rPr>
          <w:rFonts w:ascii="Arial" w:hAnsi="Arial" w:cs="Arial"/>
          <w:i/>
          <w:iCs/>
          <w:color w:val="000000" w:themeColor="text1"/>
        </w:rPr>
        <w:t>Pract</w:t>
      </w:r>
      <w:proofErr w:type="spellEnd"/>
      <w:r w:rsidRPr="00B85271">
        <w:rPr>
          <w:rFonts w:ascii="Arial" w:hAnsi="Arial" w:cs="Arial"/>
          <w:i/>
          <w:iCs/>
          <w:color w:val="000000" w:themeColor="text1"/>
        </w:rPr>
        <w:t>. 21(3):195-201</w:t>
      </w:r>
    </w:p>
    <w:p w14:paraId="4189000E" w14:textId="01666DFB" w:rsidR="008C4E25" w:rsidRDefault="008C4E25" w:rsidP="008C4E25">
      <w:pPr>
        <w:pStyle w:val="ListParagraph"/>
        <w:numPr>
          <w:ilvl w:val="0"/>
          <w:numId w:val="2"/>
        </w:numPr>
        <w:rPr>
          <w:rFonts w:ascii="Arial" w:hAnsi="Arial" w:cs="Arial"/>
          <w:color w:val="000000" w:themeColor="text1"/>
        </w:rPr>
      </w:pPr>
      <w:hyperlink r:id="rId9" w:history="1">
        <w:r w:rsidRPr="00B85271">
          <w:rPr>
            <w:rStyle w:val="Hyperlink"/>
            <w:rFonts w:ascii="Arial" w:hAnsi="Arial" w:cs="Arial"/>
            <w:color w:val="000000" w:themeColor="text1"/>
            <w:u w:val="none"/>
          </w:rPr>
          <w:t>Jun Ren Loh</w:t>
        </w:r>
      </w:hyperlink>
      <w:r w:rsidRPr="00B85271">
        <w:rPr>
          <w:rFonts w:ascii="Arial" w:hAnsi="Arial" w:cs="Arial"/>
          <w:color w:val="000000" w:themeColor="text1"/>
          <w:vertAlign w:val="superscript"/>
        </w:rPr>
        <w:t> </w:t>
      </w:r>
      <w:r w:rsidRPr="00B85271">
        <w:rPr>
          <w:rFonts w:ascii="Arial" w:hAnsi="Arial" w:cs="Arial"/>
          <w:color w:val="000000" w:themeColor="text1"/>
        </w:rPr>
        <w:t>, </w:t>
      </w:r>
      <w:hyperlink r:id="rId10" w:history="1">
        <w:r w:rsidRPr="00B85271">
          <w:rPr>
            <w:rStyle w:val="Hyperlink"/>
            <w:rFonts w:ascii="Arial" w:hAnsi="Arial" w:cs="Arial"/>
            <w:color w:val="000000" w:themeColor="text1"/>
            <w:u w:val="none"/>
          </w:rPr>
          <w:t>Nicholas Cleland</w:t>
        </w:r>
      </w:hyperlink>
      <w:r w:rsidRPr="00B85271">
        <w:rPr>
          <w:rFonts w:ascii="Arial" w:hAnsi="Arial" w:cs="Arial"/>
          <w:color w:val="000000" w:themeColor="text1"/>
          <w:vertAlign w:val="superscript"/>
        </w:rPr>
        <w:t> </w:t>
      </w:r>
      <w:r w:rsidRPr="00B85271">
        <w:rPr>
          <w:rFonts w:ascii="Arial" w:hAnsi="Arial" w:cs="Arial"/>
          <w:color w:val="000000" w:themeColor="text1"/>
        </w:rPr>
        <w:t>, </w:t>
      </w:r>
      <w:hyperlink r:id="rId11" w:history="1">
        <w:r w:rsidRPr="00B85271">
          <w:rPr>
            <w:rStyle w:val="Hyperlink"/>
            <w:rFonts w:ascii="Arial" w:hAnsi="Arial" w:cs="Arial"/>
            <w:color w:val="000000" w:themeColor="text1"/>
            <w:u w:val="none"/>
          </w:rPr>
          <w:t>Lucas Beierer</w:t>
        </w:r>
      </w:hyperlink>
      <w:r w:rsidRPr="00B85271">
        <w:rPr>
          <w:rFonts w:ascii="Arial" w:hAnsi="Arial" w:cs="Arial"/>
          <w:color w:val="000000" w:themeColor="text1"/>
          <w:vertAlign w:val="superscript"/>
        </w:rPr>
        <w:t> </w:t>
      </w:r>
      <w:r w:rsidRPr="00B85271">
        <w:rPr>
          <w:rFonts w:ascii="Arial" w:hAnsi="Arial" w:cs="Arial"/>
          <w:color w:val="000000" w:themeColor="text1"/>
        </w:rPr>
        <w:t>, </w:t>
      </w:r>
      <w:hyperlink r:id="rId12" w:history="1">
        <w:r w:rsidRPr="00B85271">
          <w:rPr>
            <w:rStyle w:val="Hyperlink"/>
            <w:rFonts w:ascii="Arial" w:hAnsi="Arial" w:cs="Arial"/>
            <w:color w:val="000000" w:themeColor="text1"/>
            <w:u w:val="none"/>
          </w:rPr>
          <w:t>Jarrod Drew</w:t>
        </w:r>
      </w:hyperlink>
      <w:r w:rsidRPr="00B85271">
        <w:rPr>
          <w:rFonts w:ascii="Arial" w:hAnsi="Arial" w:cs="Arial"/>
          <w:color w:val="000000" w:themeColor="text1"/>
          <w:vertAlign w:val="superscript"/>
        </w:rPr>
        <w:t> </w:t>
      </w:r>
      <w:r w:rsidRPr="00B85271">
        <w:rPr>
          <w:rFonts w:ascii="Arial" w:hAnsi="Arial" w:cs="Arial"/>
          <w:color w:val="000000" w:themeColor="text1"/>
        </w:rPr>
        <w:t>, </w:t>
      </w:r>
      <w:hyperlink r:id="rId13" w:history="1">
        <w:r w:rsidRPr="00B85271">
          <w:rPr>
            <w:rStyle w:val="Hyperlink"/>
            <w:rFonts w:ascii="Arial" w:hAnsi="Arial" w:cs="Arial"/>
            <w:color w:val="000000" w:themeColor="text1"/>
            <w:u w:val="none"/>
          </w:rPr>
          <w:t>Lance Wilson</w:t>
        </w:r>
      </w:hyperlink>
      <w:r w:rsidRPr="00B85271">
        <w:rPr>
          <w:rFonts w:ascii="Arial" w:hAnsi="Arial" w:cs="Arial"/>
          <w:color w:val="000000" w:themeColor="text1"/>
        </w:rPr>
        <w:t>, </w:t>
      </w:r>
      <w:hyperlink r:id="rId14" w:history="1">
        <w:r w:rsidRPr="00B85271">
          <w:rPr>
            <w:rStyle w:val="Hyperlink"/>
            <w:rFonts w:ascii="Arial" w:hAnsi="Arial" w:cs="Arial"/>
            <w:color w:val="000000" w:themeColor="text1"/>
            <w:u w:val="none"/>
          </w:rPr>
          <w:t>Peter Delisser</w:t>
        </w:r>
      </w:hyperlink>
      <w:r w:rsidRPr="00B85271">
        <w:rPr>
          <w:rFonts w:ascii="Arial" w:hAnsi="Arial" w:cs="Arial"/>
          <w:color w:val="000000" w:themeColor="text1"/>
        </w:rPr>
        <w:t xml:space="preserve"> (2024) Caudoventral hip luxation in 160 dogs (2003-2023): A multicenter retrospective case series. </w:t>
      </w:r>
      <w:r w:rsidRPr="00B85271">
        <w:rPr>
          <w:rFonts w:ascii="Arial" w:hAnsi="Arial" w:cs="Arial"/>
          <w:i/>
          <w:iCs/>
          <w:color w:val="000000" w:themeColor="text1"/>
        </w:rPr>
        <w:t>Vet Surg 53(4):586-595</w:t>
      </w:r>
      <w:r w:rsidRPr="00B85271">
        <w:rPr>
          <w:rFonts w:ascii="Arial" w:hAnsi="Arial" w:cs="Arial"/>
          <w:color w:val="000000" w:themeColor="text1"/>
        </w:rPr>
        <w:t>. </w:t>
      </w:r>
    </w:p>
    <w:p w14:paraId="6207263D" w14:textId="5195F1D3" w:rsidR="003220C5" w:rsidRPr="003220C5" w:rsidRDefault="003220C5" w:rsidP="003220C5">
      <w:pPr>
        <w:pStyle w:val="ListParagraph"/>
        <w:numPr>
          <w:ilvl w:val="0"/>
          <w:numId w:val="2"/>
        </w:numPr>
        <w:rPr>
          <w:rFonts w:ascii="Arial" w:hAnsi="Arial" w:cs="Arial"/>
          <w:b/>
          <w:bCs/>
          <w:color w:val="000000" w:themeColor="text1"/>
        </w:rPr>
      </w:pPr>
      <w:r>
        <w:rPr>
          <w:rFonts w:ascii="Arial" w:hAnsi="Arial" w:cs="Arial"/>
          <w:color w:val="000000" w:themeColor="text1"/>
        </w:rPr>
        <w:t>Rivenburg R, Murphy S, Jones K, Martin K (202</w:t>
      </w:r>
      <w:r w:rsidRPr="003220C5">
        <w:rPr>
          <w:rFonts w:ascii="Arial" w:hAnsi="Arial" w:cs="Arial"/>
          <w:color w:val="000000" w:themeColor="text1"/>
        </w:rPr>
        <w:t xml:space="preserve">2) </w:t>
      </w:r>
      <w:r w:rsidRPr="003220C5">
        <w:rPr>
          <w:rFonts w:ascii="Arial" w:hAnsi="Arial" w:cs="Arial"/>
          <w:color w:val="000000" w:themeColor="text1"/>
        </w:rPr>
        <w:t xml:space="preserve">Arthroscopic-Assisted Toggle Rod Stabilization in Canine </w:t>
      </w:r>
      <w:proofErr w:type="spellStart"/>
      <w:r w:rsidRPr="003220C5">
        <w:rPr>
          <w:rFonts w:ascii="Arial" w:hAnsi="Arial" w:cs="Arial"/>
          <w:color w:val="000000" w:themeColor="text1"/>
        </w:rPr>
        <w:t>Coxofemoral</w:t>
      </w:r>
      <w:proofErr w:type="spellEnd"/>
      <w:r w:rsidRPr="003220C5">
        <w:rPr>
          <w:rFonts w:ascii="Arial" w:hAnsi="Arial" w:cs="Arial"/>
          <w:color w:val="000000" w:themeColor="text1"/>
        </w:rPr>
        <w:t xml:space="preserve"> Luxation: A Cadaveric Study</w:t>
      </w:r>
      <w:r w:rsidRPr="003220C5">
        <w:rPr>
          <w:rFonts w:ascii="Arial" w:hAnsi="Arial" w:cs="Arial"/>
          <w:color w:val="000000" w:themeColor="text1"/>
        </w:rPr>
        <w:t xml:space="preserve"> </w:t>
      </w:r>
      <w:r w:rsidRPr="003220C5">
        <w:rPr>
          <w:rFonts w:ascii="Arial" w:hAnsi="Arial" w:cs="Arial"/>
          <w:i/>
          <w:iCs/>
          <w:color w:val="000000" w:themeColor="text1"/>
        </w:rPr>
        <w:t xml:space="preserve">VCOT </w:t>
      </w:r>
      <w:r w:rsidRPr="003220C5">
        <w:rPr>
          <w:rFonts w:ascii="Arial" w:hAnsi="Arial" w:cs="Arial"/>
          <w:i/>
          <w:iCs/>
          <w:color w:val="000000" w:themeColor="text1"/>
        </w:rPr>
        <w:t>35(5):298-304</w:t>
      </w:r>
      <w:r>
        <w:rPr>
          <w:rFonts w:ascii="Arial" w:hAnsi="Arial" w:cs="Arial"/>
          <w:i/>
          <w:iCs/>
          <w:color w:val="000000" w:themeColor="text1"/>
        </w:rPr>
        <w:t>.</w:t>
      </w:r>
    </w:p>
    <w:p w14:paraId="79D596DA" w14:textId="77777777" w:rsidR="008C4E25" w:rsidRPr="00B85271" w:rsidRDefault="008D290A" w:rsidP="008C4E25">
      <w:pPr>
        <w:rPr>
          <w:rFonts w:ascii="Arial" w:hAnsi="Arial" w:cs="Arial"/>
        </w:rPr>
      </w:pPr>
      <w:r w:rsidRPr="00B85271">
        <w:rPr>
          <w:rFonts w:ascii="Arial" w:hAnsi="Arial" w:cs="Arial"/>
        </w:rPr>
        <w:t>ACKNOWLEDGEMENTS:</w:t>
      </w:r>
      <w:r w:rsidR="008C4E25" w:rsidRPr="00B85271">
        <w:rPr>
          <w:rFonts w:ascii="Arial" w:hAnsi="Arial" w:cs="Arial"/>
        </w:rPr>
        <w:t xml:space="preserve"> There was no proprietary interest or funding provided for this project. </w:t>
      </w:r>
    </w:p>
    <w:p w14:paraId="2EC2DC78" w14:textId="12092880" w:rsidR="008D290A" w:rsidRPr="00B85271" w:rsidRDefault="008D290A">
      <w:pPr>
        <w:rPr>
          <w:rFonts w:ascii="Arial" w:hAnsi="Arial" w:cs="Arial"/>
        </w:rPr>
      </w:pPr>
    </w:p>
    <w:sectPr w:rsidR="008D290A" w:rsidRPr="00B8527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A66272"/>
    <w:multiLevelType w:val="multilevel"/>
    <w:tmpl w:val="D9A637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F364E32"/>
    <w:multiLevelType w:val="hybridMultilevel"/>
    <w:tmpl w:val="55E2350C"/>
    <w:lvl w:ilvl="0" w:tplc="5A3412E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787466D"/>
    <w:multiLevelType w:val="multilevel"/>
    <w:tmpl w:val="062C06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DA70B9C"/>
    <w:multiLevelType w:val="multilevel"/>
    <w:tmpl w:val="0B4478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D714C15"/>
    <w:multiLevelType w:val="multilevel"/>
    <w:tmpl w:val="0C2A00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18829053">
    <w:abstractNumId w:val="3"/>
  </w:num>
  <w:num w:numId="2" w16cid:durableId="359087211">
    <w:abstractNumId w:val="1"/>
  </w:num>
  <w:num w:numId="3" w16cid:durableId="1695762384">
    <w:abstractNumId w:val="4"/>
  </w:num>
  <w:num w:numId="4" w16cid:durableId="324744871">
    <w:abstractNumId w:val="0"/>
  </w:num>
  <w:num w:numId="5" w16cid:durableId="42218916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0CDE"/>
    <w:rsid w:val="000E43E6"/>
    <w:rsid w:val="00172BD2"/>
    <w:rsid w:val="0018066B"/>
    <w:rsid w:val="001C35AB"/>
    <w:rsid w:val="0028211E"/>
    <w:rsid w:val="003220C5"/>
    <w:rsid w:val="004C1CEE"/>
    <w:rsid w:val="005504FC"/>
    <w:rsid w:val="006A3651"/>
    <w:rsid w:val="00770CDE"/>
    <w:rsid w:val="008C4E25"/>
    <w:rsid w:val="008D290A"/>
    <w:rsid w:val="008F28C5"/>
    <w:rsid w:val="009E7637"/>
    <w:rsid w:val="00A3435C"/>
    <w:rsid w:val="00B56588"/>
    <w:rsid w:val="00B85271"/>
    <w:rsid w:val="00D364D1"/>
    <w:rsid w:val="00DB3B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690855"/>
  <w15:chartTrackingRefBased/>
  <w15:docId w15:val="{3F23FD75-547B-4D42-973C-BC8B3D1128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70CDE"/>
  </w:style>
  <w:style w:type="paragraph" w:styleId="Heading1">
    <w:name w:val="heading 1"/>
    <w:basedOn w:val="Normal"/>
    <w:next w:val="Normal"/>
    <w:link w:val="Heading1Char"/>
    <w:uiPriority w:val="9"/>
    <w:qFormat/>
    <w:rsid w:val="00770CD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70CD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70CD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70CD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70CD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70CD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70CD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70CD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70CD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70CD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70CD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70CD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70CD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70CD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70CD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70CD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70CD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70CD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70CD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70CD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70CD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70CD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70CD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70CD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70CD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70CD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70CD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70CD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70CDE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B56588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5658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91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492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1449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9529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974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2502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1355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5269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333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9265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107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3048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412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1794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7425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7570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4407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7242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777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9227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1600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4977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92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5740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407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3088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6837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4050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9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ubmed.ncbi.nlm.nih.gov/?sort=date&amp;term=Read+RA&amp;cauthor_id=7366183" TargetMode="External"/><Relationship Id="rId13" Type="http://schemas.openxmlformats.org/officeDocument/2006/relationships/hyperlink" Target="https://pubmed.ncbi.nlm.nih.gov/?sort=date&amp;term=Wilson+L&amp;cauthor_id=38558417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pubmed.ncbi.nlm.nih.gov/?sort=date&amp;term=deHaan+JJ&amp;cauthor_id=10825101" TargetMode="External"/><Relationship Id="rId12" Type="http://schemas.openxmlformats.org/officeDocument/2006/relationships/hyperlink" Target="https://pubmed.ncbi.nlm.nih.gov/?sort=date&amp;term=Drew+J&amp;cauthor_id=38558417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pubmed.ncbi.nlm.nih.gov/?sort=date&amp;term=Peck+JN&amp;cauthor_id=10825101" TargetMode="External"/><Relationship Id="rId11" Type="http://schemas.openxmlformats.org/officeDocument/2006/relationships/hyperlink" Target="https://pubmed.ncbi.nlm.nih.gov/?sort=date&amp;term=Beierer+L&amp;cauthor_id=38558417" TargetMode="External"/><Relationship Id="rId5" Type="http://schemas.openxmlformats.org/officeDocument/2006/relationships/hyperlink" Target="https://pubmed.ncbi.nlm.nih.gov/?sort=date&amp;term=Trostel+CD&amp;cauthor_id=10825101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s://pubmed.ncbi.nlm.nih.gov/?sort=date&amp;term=Cleland+N&amp;cauthor_id=38558417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pubmed.ncbi.nlm.nih.gov/?sort=date&amp;term=Loh+JR&amp;cauthor_id=38558417" TargetMode="External"/><Relationship Id="rId14" Type="http://schemas.openxmlformats.org/officeDocument/2006/relationships/hyperlink" Target="https://pubmed.ncbi.nlm.nih.gov/?sort=date&amp;term=Delisser+P&amp;cauthor_id=3855841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866</Words>
  <Characters>6354</Characters>
  <Application>Microsoft Office Word</Application>
  <DocSecurity>0</DocSecurity>
  <Lines>105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Cooper, Jamshyd Kersey</dc:creator>
  <cp:keywords/>
  <dc:description/>
  <cp:lastModifiedBy>Darveshi, Bettina RM</cp:lastModifiedBy>
  <cp:revision>4</cp:revision>
  <dcterms:created xsi:type="dcterms:W3CDTF">2025-11-01T17:17:00Z</dcterms:created>
  <dcterms:modified xsi:type="dcterms:W3CDTF">2025-11-01T17:39:00Z</dcterms:modified>
</cp:coreProperties>
</file>