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53786" w14:textId="77777777" w:rsidR="003D2BA7" w:rsidRPr="00022485" w:rsidRDefault="00DF1DC5" w:rsidP="003D2BA7">
      <w:pPr>
        <w:spacing w:line="240" w:lineRule="auto"/>
        <w:jc w:val="center"/>
        <w:rPr>
          <w:rFonts w:ascii="Arial" w:hAnsi="Arial" w:cs="Arial"/>
          <w:b/>
          <w:bCs/>
        </w:rPr>
      </w:pPr>
      <w:r w:rsidRPr="00022485">
        <w:rPr>
          <w:rFonts w:ascii="Arial" w:hAnsi="Arial" w:cs="Arial"/>
          <w:b/>
          <w:bCs/>
        </w:rPr>
        <w:t xml:space="preserve">Cementless Total Hip Arthroplasty Using the BFX Atem in Small-Breed </w:t>
      </w:r>
    </w:p>
    <w:p w14:paraId="3C3B5B61" w14:textId="45446BB7" w:rsidR="00DF1DC5" w:rsidRPr="00022485" w:rsidRDefault="00DF1DC5" w:rsidP="003D2BA7">
      <w:pPr>
        <w:spacing w:line="240" w:lineRule="auto"/>
        <w:jc w:val="center"/>
        <w:rPr>
          <w:rFonts w:ascii="Arial" w:hAnsi="Arial" w:cs="Arial"/>
          <w:b/>
          <w:bCs/>
        </w:rPr>
      </w:pPr>
      <w:r w:rsidRPr="00022485">
        <w:rPr>
          <w:rFonts w:ascii="Arial" w:hAnsi="Arial" w:cs="Arial"/>
          <w:b/>
          <w:bCs/>
        </w:rPr>
        <w:t>Dogs and Cats: Early Radiographic and Clinical Results</w:t>
      </w:r>
    </w:p>
    <w:p w14:paraId="34A00030" w14:textId="77777777" w:rsidR="00B44B56" w:rsidRPr="00022485" w:rsidRDefault="00B44B56">
      <w:pPr>
        <w:rPr>
          <w:rFonts w:ascii="Arial" w:hAnsi="Arial" w:cs="Arial"/>
          <w:b/>
          <w:bCs/>
        </w:rPr>
      </w:pPr>
    </w:p>
    <w:p w14:paraId="31B41BDE" w14:textId="6EEACC4D" w:rsidR="00022485" w:rsidRDefault="00022485" w:rsidP="00022485">
      <w:pPr>
        <w:pStyle w:val="NormalWeb"/>
        <w:rPr>
          <w:rFonts w:ascii="Arial" w:hAnsi="Arial" w:cs="Arial"/>
        </w:rPr>
      </w:pPr>
      <w:r w:rsidRPr="00022485">
        <w:rPr>
          <w:rStyle w:val="Strong"/>
          <w:rFonts w:ascii="Arial" w:eastAsiaTheme="majorEastAsia" w:hAnsi="Arial" w:cs="Arial"/>
        </w:rPr>
        <w:t>Objective:</w:t>
      </w:r>
      <w:r w:rsidRPr="00022485">
        <w:rPr>
          <w:rFonts w:ascii="Arial" w:hAnsi="Arial" w:cs="Arial"/>
        </w:rPr>
        <w:br/>
        <w:t>The advent of micro total hip replacement (THR) has enabled treatment of coxofemoral disease in small-breed dogs and cats. Initially, small-breed components were cemented; however, cemented prostheses are associated with loosening and subsidence¹</w:t>
      </w:r>
      <w:r>
        <w:rPr>
          <w:rFonts w:ascii="Arial" w:hAnsi="Arial" w:cs="Arial"/>
        </w:rPr>
        <w:t xml:space="preserve">. </w:t>
      </w:r>
      <w:r w:rsidRPr="00022485">
        <w:rPr>
          <w:rFonts w:ascii="Arial" w:hAnsi="Arial" w:cs="Arial"/>
        </w:rPr>
        <w:t xml:space="preserve">Cats and small-breed dogs often have long lifespans, emphasizing the need for durable, long-term prosthetic stability. The </w:t>
      </w:r>
      <w:proofErr w:type="spellStart"/>
      <w:r w:rsidRPr="00022485">
        <w:rPr>
          <w:rFonts w:ascii="Arial" w:hAnsi="Arial" w:cs="Arial"/>
        </w:rPr>
        <w:t>BioMedtrix</w:t>
      </w:r>
      <w:proofErr w:type="spellEnd"/>
      <w:r w:rsidRPr="00022485">
        <w:rPr>
          <w:rFonts w:ascii="Arial" w:hAnsi="Arial" w:cs="Arial"/>
        </w:rPr>
        <w:t xml:space="preserve"> BFX stem is a cementless, press-fit design with a high coefficient of friction, potentially</w:t>
      </w:r>
      <w:r>
        <w:rPr>
          <w:rFonts w:ascii="Arial" w:hAnsi="Arial" w:cs="Arial"/>
        </w:rPr>
        <w:t xml:space="preserve"> offering</w:t>
      </w:r>
      <w:r w:rsidRPr="00022485">
        <w:rPr>
          <w:rFonts w:ascii="Arial" w:hAnsi="Arial" w:cs="Arial"/>
        </w:rPr>
        <w:t xml:space="preserve"> improved initial fixation and bone ingrowth for enhanced longevity.</w:t>
      </w:r>
    </w:p>
    <w:p w14:paraId="2AAD23B3" w14:textId="36BAA762" w:rsidR="00022485" w:rsidRPr="00022485" w:rsidRDefault="00022485" w:rsidP="00022485">
      <w:pPr>
        <w:pStyle w:val="NormalWeb"/>
        <w:rPr>
          <w:rFonts w:ascii="Arial" w:hAnsi="Arial" w:cs="Arial"/>
        </w:rPr>
      </w:pPr>
      <w:r w:rsidRPr="00022485">
        <w:rPr>
          <w:rFonts w:ascii="Arial" w:hAnsi="Arial" w:cs="Arial"/>
        </w:rPr>
        <w:t>This retrospective study aimed to evaluate radiographic outcomes and complications in small-breed dogs and cats undergoing THR with the BFX stem.</w:t>
      </w:r>
    </w:p>
    <w:p w14:paraId="72207A75" w14:textId="12E6B9C8" w:rsidR="00022485" w:rsidRDefault="00022485" w:rsidP="00022485">
      <w:pPr>
        <w:pStyle w:val="NormalWeb"/>
        <w:rPr>
          <w:rFonts w:ascii="Arial" w:hAnsi="Arial" w:cs="Arial"/>
        </w:rPr>
      </w:pPr>
      <w:r w:rsidRPr="00022485">
        <w:rPr>
          <w:rStyle w:val="Strong"/>
          <w:rFonts w:ascii="Arial" w:eastAsiaTheme="majorEastAsia" w:hAnsi="Arial" w:cs="Arial"/>
        </w:rPr>
        <w:t>Study Design:</w:t>
      </w:r>
      <w:r w:rsidRPr="00022485">
        <w:rPr>
          <w:rFonts w:ascii="Arial" w:hAnsi="Arial" w:cs="Arial"/>
        </w:rPr>
        <w:br/>
        <w:t xml:space="preserve">Medical records were reviewed for small-breed dogs and cats that underwent BFX cementless THR between 2023 and 2025 at a referral institution. Inclusion </w:t>
      </w:r>
      <w:r>
        <w:rPr>
          <w:rFonts w:ascii="Arial" w:hAnsi="Arial" w:cs="Arial"/>
        </w:rPr>
        <w:t xml:space="preserve">criteria </w:t>
      </w:r>
      <w:r w:rsidRPr="00022485">
        <w:rPr>
          <w:rFonts w:ascii="Arial" w:hAnsi="Arial" w:cs="Arial"/>
        </w:rPr>
        <w:t>required a minimum of six weeks’ follow-up. Signalment, diagnosis, perioperative imaging, surgical details, and complications were recorded.</w:t>
      </w:r>
    </w:p>
    <w:p w14:paraId="4F3F4A3E" w14:textId="070FA1E9" w:rsidR="00022485" w:rsidRPr="00022485" w:rsidRDefault="00022485" w:rsidP="00022485">
      <w:pPr>
        <w:pStyle w:val="NormalWeb"/>
        <w:rPr>
          <w:rFonts w:ascii="Arial" w:hAnsi="Arial" w:cs="Arial"/>
        </w:rPr>
      </w:pPr>
      <w:r w:rsidRPr="00022485">
        <w:rPr>
          <w:rFonts w:ascii="Arial" w:hAnsi="Arial" w:cs="Arial"/>
        </w:rPr>
        <w:t>Outcome measures included stem subsidence, version, osseointegration, and complications. Subsidence was measured according to previously described methods²</w:t>
      </w:r>
      <w:r>
        <w:rPr>
          <w:rFonts w:ascii="Arial" w:hAnsi="Arial" w:cs="Arial"/>
        </w:rPr>
        <w:t>.</w:t>
      </w:r>
      <w:r w:rsidRPr="00022485">
        <w:rPr>
          <w:rFonts w:ascii="Arial" w:hAnsi="Arial" w:cs="Arial"/>
        </w:rPr>
        <w:t xml:space="preserve"> Stem version was categorized as </w:t>
      </w:r>
      <w:r w:rsidRPr="00022485">
        <w:rPr>
          <w:rStyle w:val="Emphasis"/>
          <w:rFonts w:ascii="Arial" w:eastAsiaTheme="majorEastAsia" w:hAnsi="Arial" w:cs="Arial"/>
        </w:rPr>
        <w:t>excessively anteverted</w:t>
      </w:r>
      <w:r w:rsidRPr="00022485">
        <w:rPr>
          <w:rFonts w:ascii="Arial" w:hAnsi="Arial" w:cs="Arial"/>
        </w:rPr>
        <w:t xml:space="preserve">, </w:t>
      </w:r>
      <w:r w:rsidRPr="00022485">
        <w:rPr>
          <w:rStyle w:val="Emphasis"/>
          <w:rFonts w:ascii="Arial" w:eastAsiaTheme="majorEastAsia" w:hAnsi="Arial" w:cs="Arial"/>
        </w:rPr>
        <w:t>anteverted</w:t>
      </w:r>
      <w:r w:rsidRPr="00022485">
        <w:rPr>
          <w:rFonts w:ascii="Arial" w:hAnsi="Arial" w:cs="Arial"/>
        </w:rPr>
        <w:t xml:space="preserve">, </w:t>
      </w:r>
      <w:r w:rsidRPr="00022485">
        <w:rPr>
          <w:rStyle w:val="Emphasis"/>
          <w:rFonts w:ascii="Arial" w:eastAsiaTheme="majorEastAsia" w:hAnsi="Arial" w:cs="Arial"/>
        </w:rPr>
        <w:t>normoverted</w:t>
      </w:r>
      <w:r w:rsidRPr="00022485">
        <w:rPr>
          <w:rFonts w:ascii="Arial" w:hAnsi="Arial" w:cs="Arial"/>
        </w:rPr>
        <w:t xml:space="preserve">, </w:t>
      </w:r>
      <w:r w:rsidRPr="00022485">
        <w:rPr>
          <w:rStyle w:val="Emphasis"/>
          <w:rFonts w:ascii="Arial" w:eastAsiaTheme="majorEastAsia" w:hAnsi="Arial" w:cs="Arial"/>
        </w:rPr>
        <w:t>retroverted</w:t>
      </w:r>
      <w:r w:rsidRPr="00022485">
        <w:rPr>
          <w:rFonts w:ascii="Arial" w:hAnsi="Arial" w:cs="Arial"/>
        </w:rPr>
        <w:t xml:space="preserve">, or </w:t>
      </w:r>
      <w:r w:rsidRPr="00022485">
        <w:rPr>
          <w:rStyle w:val="Emphasis"/>
          <w:rFonts w:ascii="Arial" w:eastAsiaTheme="majorEastAsia" w:hAnsi="Arial" w:cs="Arial"/>
        </w:rPr>
        <w:t>excessively retroverted</w:t>
      </w:r>
      <w:r w:rsidRPr="00022485">
        <w:rPr>
          <w:rFonts w:ascii="Arial" w:hAnsi="Arial" w:cs="Arial"/>
        </w:rPr>
        <w:t xml:space="preserve"> (Figure 1).</w:t>
      </w:r>
    </w:p>
    <w:p w14:paraId="1618A4ED" w14:textId="7DC32130" w:rsidR="00022485" w:rsidRDefault="00022485" w:rsidP="00022485">
      <w:pPr>
        <w:pStyle w:val="NormalWeb"/>
        <w:rPr>
          <w:rFonts w:ascii="Arial" w:hAnsi="Arial" w:cs="Arial"/>
        </w:rPr>
      </w:pPr>
      <w:r w:rsidRPr="00022485">
        <w:rPr>
          <w:rStyle w:val="Strong"/>
          <w:rFonts w:ascii="Arial" w:eastAsiaTheme="majorEastAsia" w:hAnsi="Arial" w:cs="Arial"/>
        </w:rPr>
        <w:t>Results:</w:t>
      </w:r>
      <w:r w:rsidRPr="00022485">
        <w:rPr>
          <w:rFonts w:ascii="Arial" w:hAnsi="Arial" w:cs="Arial"/>
        </w:rPr>
        <w:br/>
        <w:t>Fourteen THRs met inclusion criteria: seven in dogs and seven in cats. Two cats underwent staged, bilateral procedures. Indications included capital physeal dysplasia (n = 6), osteoarthritis (n = 4), and Legg-</w:t>
      </w:r>
      <w:proofErr w:type="spellStart"/>
      <w:r w:rsidRPr="00022485">
        <w:rPr>
          <w:rFonts w:ascii="Arial" w:hAnsi="Arial" w:cs="Arial"/>
        </w:rPr>
        <w:t>Calvé</w:t>
      </w:r>
      <w:proofErr w:type="spellEnd"/>
      <w:r w:rsidRPr="00022485">
        <w:rPr>
          <w:rFonts w:ascii="Arial" w:hAnsi="Arial" w:cs="Arial"/>
        </w:rPr>
        <w:t>-Perthes disease (n = 4). One case represented revision of a failed cemented THR.</w:t>
      </w:r>
    </w:p>
    <w:p w14:paraId="4CA05054" w14:textId="3D368227" w:rsidR="00022485" w:rsidRDefault="00022485" w:rsidP="00022485">
      <w:pPr>
        <w:pStyle w:val="NormalWeb"/>
        <w:rPr>
          <w:rFonts w:ascii="Arial" w:hAnsi="Arial" w:cs="Arial"/>
        </w:rPr>
      </w:pPr>
      <w:r w:rsidRPr="00022485">
        <w:rPr>
          <w:rFonts w:ascii="Arial" w:hAnsi="Arial" w:cs="Arial"/>
        </w:rPr>
        <w:t xml:space="preserve">A single major complication </w:t>
      </w:r>
      <w:r>
        <w:rPr>
          <w:rFonts w:ascii="Arial" w:hAnsi="Arial" w:cs="Arial"/>
        </w:rPr>
        <w:t>occurred: a</w:t>
      </w:r>
      <w:r w:rsidRPr="00022485">
        <w:rPr>
          <w:rFonts w:ascii="Arial" w:hAnsi="Arial" w:cs="Arial"/>
        </w:rPr>
        <w:t xml:space="preserve"> feline periprosthetic femoral fracture between surgery and suture removal. Revision surgery confirmed stem stability; the fracture was repaired using a plate and screws. No minor complications were reported.</w:t>
      </w:r>
    </w:p>
    <w:p w14:paraId="0926C49F" w14:textId="3343C239" w:rsidR="00022485" w:rsidRDefault="00022485" w:rsidP="00022485">
      <w:pPr>
        <w:pStyle w:val="NormalWeb"/>
        <w:rPr>
          <w:rFonts w:ascii="Arial" w:hAnsi="Arial" w:cs="Arial"/>
        </w:rPr>
      </w:pPr>
      <w:r w:rsidRPr="00022485">
        <w:rPr>
          <w:rFonts w:ascii="Arial" w:hAnsi="Arial" w:cs="Arial"/>
        </w:rPr>
        <w:t xml:space="preserve">Between the immediate postoperative and six-week radiographs, mean subsidence was 1.24 mm (SD 3.92), largely influenced by an outlier (12.6 mm) corresponding to the fracture case. Excluding this outlier, mean subsidence was 0.6 mm (SD 0.82). All but one case demonstrated &lt; 1 mm subsidence; one case had 2.6 mm. At 12 weeks (n = 11), no additional subsidence was observed. </w:t>
      </w:r>
      <w:r w:rsidR="00766C22">
        <w:rPr>
          <w:rFonts w:ascii="Arial" w:hAnsi="Arial" w:cs="Arial"/>
        </w:rPr>
        <w:t>At the time of abstract preparation, t</w:t>
      </w:r>
      <w:r w:rsidRPr="00022485">
        <w:rPr>
          <w:rFonts w:ascii="Arial" w:hAnsi="Arial" w:cs="Arial"/>
        </w:rPr>
        <w:t xml:space="preserve">wo cases </w:t>
      </w:r>
      <w:r w:rsidR="00766C22">
        <w:rPr>
          <w:rFonts w:ascii="Arial" w:hAnsi="Arial" w:cs="Arial"/>
        </w:rPr>
        <w:t xml:space="preserve">were available </w:t>
      </w:r>
      <w:r w:rsidRPr="00022485">
        <w:rPr>
          <w:rFonts w:ascii="Arial" w:hAnsi="Arial" w:cs="Arial"/>
        </w:rPr>
        <w:t>with 24-week follow-up</w:t>
      </w:r>
      <w:r w:rsidR="00766C22">
        <w:rPr>
          <w:rFonts w:ascii="Arial" w:hAnsi="Arial" w:cs="Arial"/>
        </w:rPr>
        <w:t>. These 24-week radiographs</w:t>
      </w:r>
      <w:r w:rsidRPr="00022485">
        <w:rPr>
          <w:rFonts w:ascii="Arial" w:hAnsi="Arial" w:cs="Arial"/>
        </w:rPr>
        <w:t xml:space="preserve"> showed no further change.</w:t>
      </w:r>
      <w:r w:rsidR="00766C22">
        <w:rPr>
          <w:rFonts w:ascii="Arial" w:hAnsi="Arial" w:cs="Arial"/>
        </w:rPr>
        <w:t xml:space="preserve"> </w:t>
      </w:r>
      <w:r w:rsidRPr="00022485">
        <w:rPr>
          <w:rFonts w:ascii="Arial" w:hAnsi="Arial" w:cs="Arial"/>
        </w:rPr>
        <w:br/>
      </w:r>
    </w:p>
    <w:p w14:paraId="4A0FF98D" w14:textId="4A7BC44E" w:rsidR="00022485" w:rsidRDefault="00022485" w:rsidP="00022485">
      <w:pPr>
        <w:pStyle w:val="NormalWeb"/>
        <w:rPr>
          <w:rFonts w:ascii="Arial" w:hAnsi="Arial" w:cs="Arial"/>
        </w:rPr>
      </w:pPr>
      <w:r w:rsidRPr="00022485">
        <w:rPr>
          <w:rFonts w:ascii="Arial" w:hAnsi="Arial" w:cs="Arial"/>
        </w:rPr>
        <w:lastRenderedPageBreak/>
        <w:t>Immediately postoperatively, 71% (n = 10) of stems were anteverted, 28% (n = 4) normoverted, and 14% (n = 2) retroverted. At six weeks (n = 13), three normoverted stems shifted to retroversion, one retroverted stem became anteverted, and the remainder were unchanged. No further changes were noted at 12 weeks (n = 11) or 24 weeks (n = 2). All cases with 12-week data demonstrated radiographic osseointegration.</w:t>
      </w:r>
    </w:p>
    <w:p w14:paraId="2354B0B9" w14:textId="030C6F45" w:rsidR="00766C22" w:rsidRPr="00022485" w:rsidRDefault="00766C22" w:rsidP="00022485">
      <w:pPr>
        <w:pStyle w:val="NormalWeb"/>
        <w:rPr>
          <w:rFonts w:ascii="Arial" w:hAnsi="Arial" w:cs="Arial"/>
        </w:rPr>
      </w:pPr>
      <w:r>
        <w:rPr>
          <w:rFonts w:ascii="Arial" w:hAnsi="Arial" w:cs="Arial"/>
        </w:rPr>
        <w:t>Additional follow-up will be added to data as it becomes available.</w:t>
      </w:r>
    </w:p>
    <w:p w14:paraId="03E170B4" w14:textId="7AAD5A51" w:rsidR="00022485" w:rsidRDefault="00022485" w:rsidP="00022485">
      <w:pPr>
        <w:pStyle w:val="NormalWeb"/>
        <w:rPr>
          <w:rFonts w:ascii="Arial" w:hAnsi="Arial" w:cs="Arial"/>
        </w:rPr>
      </w:pPr>
      <w:r w:rsidRPr="00022485">
        <w:rPr>
          <w:rStyle w:val="Strong"/>
          <w:rFonts w:ascii="Arial" w:eastAsiaTheme="majorEastAsia" w:hAnsi="Arial" w:cs="Arial"/>
        </w:rPr>
        <w:t>Conclusion:</w:t>
      </w:r>
      <w:r w:rsidRPr="00022485">
        <w:rPr>
          <w:rFonts w:ascii="Arial" w:hAnsi="Arial" w:cs="Arial"/>
        </w:rPr>
        <w:br/>
        <w:t>Early outcomes suggest that BFX stems provide satisfactory fixation and low subsidence rates in small-breed THR. However, achieving consistent and optimal stem version remains technically challenging.</w:t>
      </w:r>
    </w:p>
    <w:p w14:paraId="31EF7FEA" w14:textId="77777777" w:rsidR="00E704CB" w:rsidRDefault="00022485" w:rsidP="00E704CB">
      <w:pPr>
        <w:pStyle w:val="NormalWeb"/>
        <w:rPr>
          <w:rFonts w:ascii="Arial" w:hAnsi="Arial" w:cs="Arial"/>
        </w:rPr>
      </w:pPr>
      <w:r w:rsidRPr="00022485">
        <w:rPr>
          <w:rFonts w:ascii="Arial" w:hAnsi="Arial" w:cs="Arial"/>
        </w:rPr>
        <w:t xml:space="preserve">Only 71% of </w:t>
      </w:r>
      <w:r>
        <w:rPr>
          <w:rFonts w:ascii="Arial" w:hAnsi="Arial" w:cs="Arial"/>
        </w:rPr>
        <w:t>stems were in</w:t>
      </w:r>
      <w:r w:rsidRPr="00022485">
        <w:rPr>
          <w:rFonts w:ascii="Arial" w:hAnsi="Arial" w:cs="Arial"/>
        </w:rPr>
        <w:t xml:space="preserve"> anteversion. Notably, all four normoverted stems occurred in cats, three of which exhibited normoversion preoperatively. The recommended feline stem anteversion is 10–20°, reflecting the species’ naturally neutral femoral alignment</w:t>
      </w:r>
      <w:r>
        <w:rPr>
          <w:rFonts w:ascii="Arial" w:hAnsi="Arial" w:cs="Arial"/>
        </w:rPr>
        <w:t xml:space="preserve"> (Manufacturer recommendation)</w:t>
      </w:r>
      <w:r w:rsidRPr="00022485">
        <w:rPr>
          <w:rFonts w:ascii="Arial" w:hAnsi="Arial" w:cs="Arial"/>
        </w:rPr>
        <w:t xml:space="preserve">. Therefore, postoperative normoversion may represent an acceptable restoration of native anatomy. </w:t>
      </w:r>
      <w:r>
        <w:rPr>
          <w:rFonts w:ascii="Arial" w:hAnsi="Arial" w:cs="Arial"/>
        </w:rPr>
        <w:t>However</w:t>
      </w:r>
      <w:r w:rsidRPr="00022485">
        <w:rPr>
          <w:rFonts w:ascii="Arial" w:hAnsi="Arial" w:cs="Arial"/>
        </w:rPr>
        <w:t>, three of these four stems progressed to retroversion by six weeks</w:t>
      </w:r>
      <w:r w:rsidR="00E704CB">
        <w:rPr>
          <w:rFonts w:ascii="Arial" w:hAnsi="Arial" w:cs="Arial"/>
        </w:rPr>
        <w:t>.</w:t>
      </w:r>
    </w:p>
    <w:p w14:paraId="1FCA4CE6" w14:textId="220091D3" w:rsidR="00022485" w:rsidRDefault="00E704CB" w:rsidP="00E704CB">
      <w:pPr>
        <w:pStyle w:val="NormalWeb"/>
        <w:rPr>
          <w:rFonts w:ascii="Arial" w:hAnsi="Arial" w:cs="Arial"/>
        </w:rPr>
      </w:pPr>
      <w:r>
        <w:rPr>
          <w:rFonts w:ascii="Arial" w:hAnsi="Arial" w:cs="Arial"/>
        </w:rPr>
        <w:t>The authors noted that despite canal preparation in anteversion, l</w:t>
      </w:r>
      <w:r w:rsidR="00022485" w:rsidRPr="00022485">
        <w:rPr>
          <w:rFonts w:ascii="Arial" w:hAnsi="Arial" w:cs="Arial"/>
        </w:rPr>
        <w:t>oss of anteversion was particularly evident in feline cases during final impaction</w:t>
      </w:r>
      <w:r>
        <w:rPr>
          <w:rFonts w:ascii="Arial" w:hAnsi="Arial" w:cs="Arial"/>
        </w:rPr>
        <w:t xml:space="preserve"> of the stem</w:t>
      </w:r>
      <w:r w:rsidR="00022485" w:rsidRPr="00022485">
        <w:rPr>
          <w:rFonts w:ascii="Arial" w:hAnsi="Arial" w:cs="Arial"/>
        </w:rPr>
        <w:t>. The small-breed and feline population exhibited wide anatomic variability and differing pathologies, which contributed to intraoperative challenges (Figure 2). In cases with sclerotic bone, a high-speed burr was required to remove dense tissue. While burring improved access, it may have altered the proximal flare</w:t>
      </w:r>
      <w:r>
        <w:rPr>
          <w:rFonts w:ascii="Arial" w:hAnsi="Arial" w:cs="Arial"/>
        </w:rPr>
        <w:t xml:space="preserve"> of the canal preparation</w:t>
      </w:r>
      <w:r w:rsidR="00022485" w:rsidRPr="00022485">
        <w:rPr>
          <w:rFonts w:ascii="Arial" w:hAnsi="Arial" w:cs="Arial"/>
        </w:rPr>
        <w:t xml:space="preserve"> that confers rotational stability, predisposing stems to version changes.</w:t>
      </w:r>
    </w:p>
    <w:p w14:paraId="61E56592" w14:textId="676EC6B7" w:rsidR="00022485" w:rsidRPr="00022485" w:rsidRDefault="00022485" w:rsidP="00022485">
      <w:pPr>
        <w:pStyle w:val="NormalWeb"/>
        <w:rPr>
          <w:rFonts w:ascii="Arial" w:hAnsi="Arial" w:cs="Arial"/>
        </w:rPr>
      </w:pPr>
      <w:r w:rsidRPr="00022485">
        <w:rPr>
          <w:rFonts w:ascii="Arial" w:hAnsi="Arial" w:cs="Arial"/>
        </w:rPr>
        <w:t>Future refinement of instrumentation may improve broach control in thin, brittle, or sclerotic bone and reduce unintended rotational shifts. Despite version variability, the low subsidence observed supports the BFX design’s ability to achieve robust initial fixation and osseointegration in small-breed THR.</w:t>
      </w:r>
    </w:p>
    <w:p w14:paraId="67BB312D" w14:textId="02009582" w:rsidR="008E6027" w:rsidRPr="00022485" w:rsidRDefault="008E6027" w:rsidP="008E6027">
      <w:pPr>
        <w:rPr>
          <w:rFonts w:ascii="Arial" w:hAnsi="Arial" w:cs="Arial"/>
        </w:rPr>
      </w:pPr>
      <w:r w:rsidRPr="00022485">
        <w:rPr>
          <w:rFonts w:ascii="Arial" w:hAnsi="Arial" w:cs="Arial"/>
          <w:b/>
          <w:bCs/>
        </w:rPr>
        <w:t>Acknowledgement</w:t>
      </w:r>
      <w:r w:rsidRPr="00022485">
        <w:rPr>
          <w:rFonts w:ascii="Arial" w:hAnsi="Arial" w:cs="Arial"/>
          <w:b/>
          <w:bCs/>
        </w:rPr>
        <w:t>:</w:t>
      </w:r>
      <w:r w:rsidRPr="00022485">
        <w:rPr>
          <w:rFonts w:ascii="Arial" w:hAnsi="Arial" w:cs="Arial"/>
          <w:b/>
          <w:bCs/>
        </w:rPr>
        <w:t xml:space="preserve"> </w:t>
      </w:r>
      <w:r w:rsidRPr="00022485">
        <w:rPr>
          <w:rFonts w:ascii="Arial" w:hAnsi="Arial" w:cs="Arial"/>
        </w:rPr>
        <w:t>There was no proprietary interest or funding provided for this project.</w:t>
      </w:r>
    </w:p>
    <w:p w14:paraId="570FB5E7" w14:textId="77777777" w:rsidR="003641FF" w:rsidRPr="00022485" w:rsidRDefault="003641FF">
      <w:pPr>
        <w:rPr>
          <w:rFonts w:ascii="Arial" w:hAnsi="Arial" w:cs="Arial"/>
        </w:rPr>
      </w:pPr>
    </w:p>
    <w:p w14:paraId="46AC163F" w14:textId="5E0B7B1B" w:rsidR="003973F5" w:rsidRPr="00022485" w:rsidRDefault="003973F5">
      <w:pPr>
        <w:rPr>
          <w:rFonts w:ascii="Arial" w:hAnsi="Arial" w:cs="Arial"/>
          <w:b/>
          <w:bCs/>
        </w:rPr>
      </w:pPr>
      <w:r w:rsidRPr="00022485">
        <w:rPr>
          <w:rFonts w:ascii="Arial" w:hAnsi="Arial" w:cs="Arial"/>
          <w:b/>
          <w:bCs/>
        </w:rPr>
        <w:t>References:</w:t>
      </w:r>
    </w:p>
    <w:p w14:paraId="27B45F7B" w14:textId="44148642" w:rsidR="005C1AA3" w:rsidRPr="00022485" w:rsidRDefault="005C1AA3" w:rsidP="003973F5">
      <w:pPr>
        <w:pStyle w:val="ListParagraph"/>
        <w:numPr>
          <w:ilvl w:val="0"/>
          <w:numId w:val="1"/>
        </w:numPr>
        <w:rPr>
          <w:rFonts w:ascii="Arial" w:hAnsi="Arial" w:cs="Arial"/>
        </w:rPr>
      </w:pPr>
      <w:r w:rsidRPr="00022485">
        <w:rPr>
          <w:rFonts w:ascii="Arial" w:hAnsi="Arial" w:cs="Arial"/>
        </w:rPr>
        <w:t xml:space="preserve">Ota, J., Cook, J.L., Lewis, D.D., Tomlinson, J.L., Morgan, J.P. and Payne, K.T., (2005). Short-term aseptic loosening of the femoral component in canine total hip replacement: effects of cementing technique on cement mantle grade. </w:t>
      </w:r>
      <w:r w:rsidRPr="00022485">
        <w:rPr>
          <w:rFonts w:ascii="Arial" w:hAnsi="Arial" w:cs="Arial"/>
          <w:i/>
          <w:iCs/>
        </w:rPr>
        <w:t xml:space="preserve">Veterinary Surgery, </w:t>
      </w:r>
      <w:r w:rsidRPr="00022485">
        <w:rPr>
          <w:rFonts w:ascii="Arial" w:hAnsi="Arial" w:cs="Arial"/>
        </w:rPr>
        <w:t>34(4), 345-352</w:t>
      </w:r>
    </w:p>
    <w:p w14:paraId="0D0A3D14" w14:textId="5C1B8B1B" w:rsidR="003973F5" w:rsidRPr="00022485" w:rsidRDefault="003973F5" w:rsidP="003973F5">
      <w:pPr>
        <w:pStyle w:val="ListParagraph"/>
        <w:numPr>
          <w:ilvl w:val="0"/>
          <w:numId w:val="1"/>
        </w:numPr>
        <w:rPr>
          <w:rFonts w:ascii="Arial" w:hAnsi="Arial" w:cs="Arial"/>
        </w:rPr>
      </w:pPr>
      <w:r w:rsidRPr="00022485">
        <w:rPr>
          <w:rFonts w:ascii="Arial" w:hAnsi="Arial" w:cs="Arial"/>
        </w:rPr>
        <w:lastRenderedPageBreak/>
        <w:t xml:space="preserve">Townsend, S., Kim, S.E., Pozzi, A. (2017). Effect of stem sizing and position on short-term complications with canine press fit cementless total hip arthroplasty. </w:t>
      </w:r>
      <w:r w:rsidRPr="00022485">
        <w:rPr>
          <w:rFonts w:ascii="Arial" w:hAnsi="Arial" w:cs="Arial"/>
          <w:i/>
          <w:iCs/>
        </w:rPr>
        <w:t xml:space="preserve">Veterinary Surgery, </w:t>
      </w:r>
      <w:r w:rsidRPr="00022485">
        <w:rPr>
          <w:rFonts w:ascii="Arial" w:hAnsi="Arial" w:cs="Arial"/>
        </w:rPr>
        <w:t xml:space="preserve">46, 803-811 </w:t>
      </w:r>
    </w:p>
    <w:sectPr w:rsidR="003973F5" w:rsidRPr="00022485" w:rsidSect="001E2E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277C9"/>
    <w:multiLevelType w:val="hybridMultilevel"/>
    <w:tmpl w:val="6854C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5328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3F5"/>
    <w:rsid w:val="00022485"/>
    <w:rsid w:val="000546F1"/>
    <w:rsid w:val="000E39C6"/>
    <w:rsid w:val="00110BDA"/>
    <w:rsid w:val="001E1D7C"/>
    <w:rsid w:val="001E2EBB"/>
    <w:rsid w:val="002229C7"/>
    <w:rsid w:val="00325CBE"/>
    <w:rsid w:val="003641FF"/>
    <w:rsid w:val="003973F5"/>
    <w:rsid w:val="003D2BA7"/>
    <w:rsid w:val="003E5470"/>
    <w:rsid w:val="00526667"/>
    <w:rsid w:val="005C1AA3"/>
    <w:rsid w:val="006A63CB"/>
    <w:rsid w:val="00766C22"/>
    <w:rsid w:val="0079045B"/>
    <w:rsid w:val="0079742C"/>
    <w:rsid w:val="007E331E"/>
    <w:rsid w:val="008719EF"/>
    <w:rsid w:val="00874468"/>
    <w:rsid w:val="008E6027"/>
    <w:rsid w:val="00A22C15"/>
    <w:rsid w:val="00A66074"/>
    <w:rsid w:val="00A71C90"/>
    <w:rsid w:val="00AF58E6"/>
    <w:rsid w:val="00B10FB4"/>
    <w:rsid w:val="00B35961"/>
    <w:rsid w:val="00B44B56"/>
    <w:rsid w:val="00C35CA5"/>
    <w:rsid w:val="00C50630"/>
    <w:rsid w:val="00C7701A"/>
    <w:rsid w:val="00DC4FED"/>
    <w:rsid w:val="00DF11C0"/>
    <w:rsid w:val="00DF1DC5"/>
    <w:rsid w:val="00E0500A"/>
    <w:rsid w:val="00E70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4652A8"/>
  <w14:defaultImageDpi w14:val="32767"/>
  <w15:chartTrackingRefBased/>
  <w15:docId w15:val="{497B7297-4551-1543-9922-E1E2BE308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A63CB"/>
  </w:style>
  <w:style w:type="paragraph" w:styleId="Heading1">
    <w:name w:val="heading 1"/>
    <w:basedOn w:val="Normal"/>
    <w:next w:val="Normal"/>
    <w:link w:val="Heading1Char"/>
    <w:uiPriority w:val="9"/>
    <w:qFormat/>
    <w:rsid w:val="00397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3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3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3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3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3F5"/>
    <w:rPr>
      <w:rFonts w:eastAsiaTheme="majorEastAsia" w:cstheme="majorBidi"/>
      <w:color w:val="272727" w:themeColor="text1" w:themeTint="D8"/>
    </w:rPr>
  </w:style>
  <w:style w:type="paragraph" w:styleId="Title">
    <w:name w:val="Title"/>
    <w:basedOn w:val="Normal"/>
    <w:next w:val="Normal"/>
    <w:link w:val="TitleChar"/>
    <w:uiPriority w:val="10"/>
    <w:qFormat/>
    <w:rsid w:val="003973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3F5"/>
    <w:pPr>
      <w:spacing w:before="160"/>
      <w:jc w:val="center"/>
    </w:pPr>
    <w:rPr>
      <w:i/>
      <w:iCs/>
      <w:color w:val="404040" w:themeColor="text1" w:themeTint="BF"/>
    </w:rPr>
  </w:style>
  <w:style w:type="character" w:customStyle="1" w:styleId="QuoteChar">
    <w:name w:val="Quote Char"/>
    <w:basedOn w:val="DefaultParagraphFont"/>
    <w:link w:val="Quote"/>
    <w:uiPriority w:val="29"/>
    <w:rsid w:val="003973F5"/>
    <w:rPr>
      <w:i/>
      <w:iCs/>
      <w:color w:val="404040" w:themeColor="text1" w:themeTint="BF"/>
    </w:rPr>
  </w:style>
  <w:style w:type="paragraph" w:styleId="ListParagraph">
    <w:name w:val="List Paragraph"/>
    <w:basedOn w:val="Normal"/>
    <w:uiPriority w:val="34"/>
    <w:qFormat/>
    <w:rsid w:val="003973F5"/>
    <w:pPr>
      <w:ind w:left="720"/>
      <w:contextualSpacing/>
    </w:pPr>
  </w:style>
  <w:style w:type="character" w:styleId="IntenseEmphasis">
    <w:name w:val="Intense Emphasis"/>
    <w:basedOn w:val="DefaultParagraphFont"/>
    <w:uiPriority w:val="21"/>
    <w:qFormat/>
    <w:rsid w:val="003973F5"/>
    <w:rPr>
      <w:i/>
      <w:iCs/>
      <w:color w:val="0F4761" w:themeColor="accent1" w:themeShade="BF"/>
    </w:rPr>
  </w:style>
  <w:style w:type="paragraph" w:styleId="IntenseQuote">
    <w:name w:val="Intense Quote"/>
    <w:basedOn w:val="Normal"/>
    <w:next w:val="Normal"/>
    <w:link w:val="IntenseQuoteChar"/>
    <w:uiPriority w:val="30"/>
    <w:qFormat/>
    <w:rsid w:val="00397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3F5"/>
    <w:rPr>
      <w:i/>
      <w:iCs/>
      <w:color w:val="0F4761" w:themeColor="accent1" w:themeShade="BF"/>
    </w:rPr>
  </w:style>
  <w:style w:type="character" w:styleId="IntenseReference">
    <w:name w:val="Intense Reference"/>
    <w:basedOn w:val="DefaultParagraphFont"/>
    <w:uiPriority w:val="32"/>
    <w:qFormat/>
    <w:rsid w:val="003973F5"/>
    <w:rPr>
      <w:b/>
      <w:bCs/>
      <w:smallCaps/>
      <w:color w:val="0F4761" w:themeColor="accent1" w:themeShade="BF"/>
      <w:spacing w:val="5"/>
    </w:rPr>
  </w:style>
  <w:style w:type="paragraph" w:styleId="NormalWeb">
    <w:name w:val="Normal (Web)"/>
    <w:basedOn w:val="Normal"/>
    <w:uiPriority w:val="99"/>
    <w:semiHidden/>
    <w:unhideWhenUsed/>
    <w:rsid w:val="000224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022485"/>
    <w:rPr>
      <w:b/>
      <w:bCs/>
    </w:rPr>
  </w:style>
  <w:style w:type="character" w:styleId="Emphasis">
    <w:name w:val="Emphasis"/>
    <w:basedOn w:val="DefaultParagraphFont"/>
    <w:uiPriority w:val="20"/>
    <w:qFormat/>
    <w:rsid w:val="000224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13930">
      <w:bodyDiv w:val="1"/>
      <w:marLeft w:val="0"/>
      <w:marRight w:val="0"/>
      <w:marTop w:val="0"/>
      <w:marBottom w:val="0"/>
      <w:divBdr>
        <w:top w:val="none" w:sz="0" w:space="0" w:color="auto"/>
        <w:left w:val="none" w:sz="0" w:space="0" w:color="auto"/>
        <w:bottom w:val="none" w:sz="0" w:space="0" w:color="auto"/>
        <w:right w:val="none" w:sz="0" w:space="0" w:color="auto"/>
      </w:divBdr>
    </w:div>
    <w:div w:id="1289773556">
      <w:bodyDiv w:val="1"/>
      <w:marLeft w:val="0"/>
      <w:marRight w:val="0"/>
      <w:marTop w:val="0"/>
      <w:marBottom w:val="0"/>
      <w:divBdr>
        <w:top w:val="none" w:sz="0" w:space="0" w:color="auto"/>
        <w:left w:val="none" w:sz="0" w:space="0" w:color="auto"/>
        <w:bottom w:val="none" w:sz="0" w:space="0" w:color="auto"/>
        <w:right w:val="none" w:sz="0" w:space="0" w:color="auto"/>
      </w:divBdr>
    </w:div>
    <w:div w:id="161921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762</Words>
  <Characters>4347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Armond,Christina C</dc:creator>
  <cp:keywords/>
  <dc:description/>
  <cp:lastModifiedBy>Christina De Armond, MVB (Hons), MS</cp:lastModifiedBy>
  <cp:revision>2</cp:revision>
  <dcterms:created xsi:type="dcterms:W3CDTF">2025-11-01T21:16:00Z</dcterms:created>
  <dcterms:modified xsi:type="dcterms:W3CDTF">2025-11-01T21:16:00Z</dcterms:modified>
</cp:coreProperties>
</file>