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76C60" w14:textId="16D67CFC" w:rsidR="003B70F9" w:rsidRDefault="003B70F9">
      <w:pPr>
        <w:widowControl w:val="0"/>
        <w:spacing w:after="200" w:line="240" w:lineRule="auto"/>
        <w:rPr>
          <w:b/>
          <w:sz w:val="24"/>
          <w:szCs w:val="24"/>
        </w:rPr>
      </w:pPr>
      <w:r>
        <w:rPr>
          <w:b/>
          <w:sz w:val="24"/>
          <w:szCs w:val="24"/>
        </w:rPr>
        <w:t>Abstract Title in Title Case</w:t>
      </w:r>
    </w:p>
    <w:p w14:paraId="00000001" w14:textId="450ED8FE" w:rsidR="00E43F19" w:rsidRDefault="00C500F7">
      <w:pPr>
        <w:widowControl w:val="0"/>
        <w:spacing w:after="200" w:line="240" w:lineRule="auto"/>
        <w:rPr>
          <w:sz w:val="24"/>
          <w:szCs w:val="24"/>
        </w:rPr>
      </w:pPr>
      <w:r>
        <w:rPr>
          <w:sz w:val="24"/>
          <w:szCs w:val="24"/>
        </w:rPr>
        <w:t xml:space="preserve">Evaluation of iatrogenic articular cartilage injury associated with insufflation prior to establishing canine stifle arthroscopy portal in a cadaveric model  </w:t>
      </w:r>
    </w:p>
    <w:p w14:paraId="460BCE56" w14:textId="77777777" w:rsidR="003B70F9" w:rsidRDefault="00C500F7">
      <w:pPr>
        <w:widowControl w:val="0"/>
        <w:spacing w:after="200" w:line="240" w:lineRule="auto"/>
        <w:rPr>
          <w:b/>
          <w:sz w:val="24"/>
          <w:szCs w:val="24"/>
        </w:rPr>
      </w:pPr>
      <w:r>
        <w:rPr>
          <w:b/>
          <w:sz w:val="24"/>
          <w:szCs w:val="24"/>
        </w:rPr>
        <w:t xml:space="preserve">Objective: </w:t>
      </w:r>
    </w:p>
    <w:p w14:paraId="00000002" w14:textId="17853569" w:rsidR="00E43F19" w:rsidRPr="003B70F9" w:rsidRDefault="003B70F9">
      <w:pPr>
        <w:widowControl w:val="0"/>
        <w:spacing w:after="200" w:line="240" w:lineRule="auto"/>
        <w:rPr>
          <w:sz w:val="24"/>
          <w:szCs w:val="24"/>
        </w:rPr>
      </w:pPr>
      <w:r w:rsidRPr="003B70F9">
        <w:rPr>
          <w:color w:val="000000"/>
          <w:sz w:val="24"/>
          <w:szCs w:val="24"/>
        </w:rPr>
        <w:t>Stifle arthroscopy is a common modality for the diagnosis and treatment of canine stifle diseases and injuries. Arthroscopy is the gold standard for characterization of degenerative cartilage changes in dogs.</w:t>
      </w:r>
      <w:r>
        <w:rPr>
          <w:color w:val="000000"/>
          <w:sz w:val="24"/>
          <w:szCs w:val="24"/>
          <w:vertAlign w:val="superscript"/>
        </w:rPr>
        <w:t>1</w:t>
      </w:r>
      <w:r w:rsidRPr="003B70F9">
        <w:rPr>
          <w:color w:val="000000"/>
          <w:sz w:val="24"/>
          <w:szCs w:val="24"/>
        </w:rPr>
        <w:t xml:space="preserve"> A complication of canine stifle arthroscopy is iatrogenic articular cartilage injury (IACI). Previous studies identified IACI as the most common complication of arthroscopy in live animals and cadaver models.</w:t>
      </w:r>
      <w:r>
        <w:rPr>
          <w:color w:val="000000"/>
          <w:sz w:val="24"/>
          <w:szCs w:val="24"/>
          <w:vertAlign w:val="superscript"/>
        </w:rPr>
        <w:t>2-4</w:t>
      </w:r>
      <w:r w:rsidRPr="003B70F9">
        <w:rPr>
          <w:color w:val="000000"/>
          <w:sz w:val="24"/>
          <w:szCs w:val="24"/>
        </w:rPr>
        <w:t xml:space="preserve"> Exposed cartilage matrix precipitates inflammatory cascades, increases synovitis, and exacerbates lameness in laboratory dogs; in addition, articular cartilage injuries in the dog do not heal.</w:t>
      </w:r>
      <w:r>
        <w:rPr>
          <w:color w:val="000000"/>
          <w:sz w:val="24"/>
          <w:szCs w:val="24"/>
          <w:vertAlign w:val="superscript"/>
        </w:rPr>
        <w:t>5</w:t>
      </w:r>
      <w:r w:rsidRPr="003B70F9">
        <w:rPr>
          <w:color w:val="000000"/>
          <w:sz w:val="24"/>
          <w:szCs w:val="24"/>
        </w:rPr>
        <w:t xml:space="preserve"> The current evidence provides the impetus for additional research to develop methods to reduce IACI. To the best of the authors’ knowledge, there is no peer-reviewed literature describing the impact of insufflation on IACI in dogs during portal establishment for stifle arthroscopy. </w:t>
      </w:r>
      <w:r w:rsidR="00C500F7" w:rsidRPr="003B70F9">
        <w:rPr>
          <w:sz w:val="24"/>
          <w:szCs w:val="24"/>
        </w:rPr>
        <w:t>The purpose of this study was to assess iatrogenic articular cartilage injury (IACI) resulting from insufflation versus not prior to arthroscope portal creation for stifle arthroscopy. Our hypotheses were that IACI would be greater without insufflation and that procedure time with insufflation would be longer.</w:t>
      </w:r>
    </w:p>
    <w:p w14:paraId="2B48BB88" w14:textId="77777777" w:rsidR="003B70F9" w:rsidRDefault="00C500F7">
      <w:pPr>
        <w:widowControl w:val="0"/>
        <w:spacing w:after="200" w:line="240" w:lineRule="auto"/>
        <w:rPr>
          <w:rFonts w:ascii="Arial Unicode MS" w:eastAsia="Arial Unicode MS" w:hAnsi="Arial Unicode MS" w:cs="Arial Unicode MS"/>
          <w:sz w:val="24"/>
          <w:szCs w:val="24"/>
        </w:rPr>
      </w:pPr>
      <w:r>
        <w:rPr>
          <w:b/>
          <w:sz w:val="24"/>
          <w:szCs w:val="24"/>
        </w:rPr>
        <w:t>Study Design:</w:t>
      </w:r>
      <w:r>
        <w:rPr>
          <w:rFonts w:ascii="Arial Unicode MS" w:eastAsia="Arial Unicode MS" w:hAnsi="Arial Unicode MS" w:cs="Arial Unicode MS"/>
          <w:sz w:val="24"/>
          <w:szCs w:val="24"/>
        </w:rPr>
        <w:t xml:space="preserve"> </w:t>
      </w:r>
    </w:p>
    <w:p w14:paraId="00000003" w14:textId="3926D84F" w:rsidR="00E43F19" w:rsidRDefault="00C500F7">
      <w:pPr>
        <w:widowControl w:val="0"/>
        <w:spacing w:after="200" w:line="240" w:lineRule="auto"/>
        <w:rPr>
          <w:sz w:val="24"/>
          <w:szCs w:val="24"/>
        </w:rPr>
      </w:pPr>
      <w:r>
        <w:rPr>
          <w:rFonts w:ascii="Arial Unicode MS" w:eastAsia="Arial Unicode MS" w:hAnsi="Arial Unicode MS" w:cs="Arial Unicode MS"/>
          <w:sz w:val="24"/>
          <w:szCs w:val="24"/>
        </w:rPr>
        <w:t xml:space="preserve">Thirteen paired stifles (N = 26) from canine cadavers ≥ 22.7kg were assigned to insufflation or no insufflation prior to establishment of a lateral parapatellar arthroscope portal. </w:t>
      </w:r>
      <w:r w:rsidR="00874BA3">
        <w:rPr>
          <w:rFonts w:ascii="Arial Unicode MS" w:eastAsia="Arial Unicode MS" w:hAnsi="Arial Unicode MS" w:cs="Arial Unicode MS"/>
          <w:sz w:val="24"/>
          <w:szCs w:val="24"/>
        </w:rPr>
        <w:t xml:space="preserve">Canine cadavers were euthanized for reasons unrelated to this study with no history of prior orthopedic disease. </w:t>
      </w:r>
      <w:r>
        <w:rPr>
          <w:rFonts w:ascii="Arial Unicode MS" w:eastAsia="Arial Unicode MS" w:hAnsi="Arial Unicode MS" w:cs="Arial Unicode MS"/>
          <w:sz w:val="24"/>
          <w:szCs w:val="24"/>
        </w:rPr>
        <w:t xml:space="preserve">Routine stifle insufflation </w:t>
      </w:r>
      <w:r w:rsidR="00874BA3">
        <w:rPr>
          <w:rFonts w:ascii="Arial Unicode MS" w:eastAsia="Arial Unicode MS" w:hAnsi="Arial Unicode MS" w:cs="Arial Unicode MS"/>
          <w:sz w:val="24"/>
          <w:szCs w:val="24"/>
        </w:rPr>
        <w:t xml:space="preserve">with 0.9% sodium chloride </w:t>
      </w:r>
      <w:r>
        <w:rPr>
          <w:rFonts w:ascii="Arial Unicode MS" w:eastAsia="Arial Unicode MS" w:hAnsi="Arial Unicode MS" w:cs="Arial Unicode MS"/>
          <w:sz w:val="24"/>
          <w:szCs w:val="24"/>
        </w:rPr>
        <w:t>and establishment of the</w:t>
      </w:r>
      <w:r w:rsidR="00874BA3">
        <w:rPr>
          <w:rFonts w:ascii="Arial Unicode MS" w:eastAsia="Arial Unicode MS" w:hAnsi="Arial Unicode MS" w:cs="Arial Unicode MS"/>
          <w:sz w:val="24"/>
          <w:szCs w:val="24"/>
        </w:rPr>
        <w:t xml:space="preserve"> lateral parapatellar</w:t>
      </w:r>
      <w:r>
        <w:rPr>
          <w:rFonts w:ascii="Arial Unicode MS" w:eastAsia="Arial Unicode MS" w:hAnsi="Arial Unicode MS" w:cs="Arial Unicode MS"/>
          <w:sz w:val="24"/>
          <w:szCs w:val="24"/>
        </w:rPr>
        <w:t xml:space="preserve"> arthroscope portal was performed by a single investigator, alternating between left and right stifles for insufflation vs no insufflation. Procedure time and difficulty score were recorded. Stifles were disarticulated and stained with India ink </w:t>
      </w:r>
      <w:r w:rsidR="00874BA3">
        <w:rPr>
          <w:rFonts w:ascii="Arial Unicode MS" w:eastAsia="Arial Unicode MS" w:hAnsi="Arial Unicode MS" w:cs="Arial Unicode MS"/>
          <w:sz w:val="24"/>
          <w:szCs w:val="24"/>
        </w:rPr>
        <w:t xml:space="preserve">assay </w:t>
      </w:r>
      <w:r>
        <w:rPr>
          <w:rFonts w:ascii="Arial Unicode MS" w:eastAsia="Arial Unicode MS" w:hAnsi="Arial Unicode MS" w:cs="Arial Unicode MS"/>
          <w:sz w:val="24"/>
          <w:szCs w:val="24"/>
        </w:rPr>
        <w:t xml:space="preserve">to identify IACI. </w:t>
      </w:r>
      <w:r w:rsidR="00F61BB1">
        <w:rPr>
          <w:rFonts w:ascii="Arial Unicode MS" w:eastAsia="Arial Unicode MS" w:hAnsi="Arial Unicode MS" w:cs="Arial Unicode MS"/>
          <w:sz w:val="24"/>
          <w:szCs w:val="24"/>
        </w:rPr>
        <w:t xml:space="preserve">Lesion location was recorded. </w:t>
      </w:r>
      <w:r w:rsidR="00874BA3">
        <w:rPr>
          <w:rFonts w:ascii="Arial Unicode MS" w:eastAsia="Arial Unicode MS" w:hAnsi="Arial Unicode MS" w:cs="Arial Unicode MS"/>
          <w:sz w:val="24"/>
          <w:szCs w:val="24"/>
        </w:rPr>
        <w:t xml:space="preserve">High-quality photographs of the trochlear groove, ventral aspect of patella, femoral condyles, </w:t>
      </w:r>
      <w:r w:rsidR="003C66E7">
        <w:rPr>
          <w:rFonts w:ascii="Arial Unicode MS" w:eastAsia="Arial Unicode MS" w:hAnsi="Arial Unicode MS" w:cs="Arial Unicode MS"/>
          <w:sz w:val="24"/>
          <w:szCs w:val="24"/>
        </w:rPr>
        <w:t xml:space="preserve">menisci, </w:t>
      </w:r>
      <w:r w:rsidR="00874BA3">
        <w:rPr>
          <w:rFonts w:ascii="Arial Unicode MS" w:eastAsia="Arial Unicode MS" w:hAnsi="Arial Unicode MS" w:cs="Arial Unicode MS"/>
          <w:sz w:val="24"/>
          <w:szCs w:val="24"/>
        </w:rPr>
        <w:t>and tibial plateau were obtained with a scientific ruler positioned at the level of the articular cartilage.</w:t>
      </w:r>
      <w:r w:rsidR="003C66E7">
        <w:rPr>
          <w:rFonts w:ascii="Arial Unicode MS" w:eastAsia="Arial Unicode MS" w:hAnsi="Arial Unicode MS" w:cs="Arial Unicode MS"/>
          <w:sz w:val="24"/>
          <w:szCs w:val="24"/>
        </w:rPr>
        <w:t xml:space="preserve"> Lesion occurrence, length, width, </w:t>
      </w:r>
      <w:r w:rsidR="00F61BB1">
        <w:rPr>
          <w:rFonts w:ascii="Arial Unicode MS" w:eastAsia="Arial Unicode MS" w:hAnsi="Arial Unicode MS" w:cs="Arial Unicode MS"/>
          <w:sz w:val="24"/>
          <w:szCs w:val="24"/>
        </w:rPr>
        <w:t xml:space="preserve">and </w:t>
      </w:r>
      <w:r w:rsidR="003C66E7">
        <w:rPr>
          <w:rFonts w:ascii="Arial Unicode MS" w:eastAsia="Arial Unicode MS" w:hAnsi="Arial Unicode MS" w:cs="Arial Unicode MS"/>
          <w:sz w:val="24"/>
          <w:szCs w:val="24"/>
        </w:rPr>
        <w:t>total area was quantified using an image processing software program (ImageJ 1.53 k, National Institutes of Health, USA).</w:t>
      </w:r>
      <w:r w:rsidR="00874BA3">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Statistical analysi</w:t>
      </w:r>
      <w:r w:rsidR="00F61BB1">
        <w:rPr>
          <w:rFonts w:ascii="Arial Unicode MS" w:eastAsia="Arial Unicode MS" w:hAnsi="Arial Unicode MS" w:cs="Arial Unicode MS"/>
          <w:sz w:val="24"/>
          <w:szCs w:val="24"/>
        </w:rPr>
        <w:t>s was performed using Welch’s t-</w:t>
      </w:r>
      <w:r>
        <w:rPr>
          <w:rFonts w:ascii="Arial Unicode MS" w:eastAsia="Arial Unicode MS" w:hAnsi="Arial Unicode MS" w:cs="Arial Unicode MS"/>
          <w:sz w:val="24"/>
          <w:szCs w:val="24"/>
        </w:rPr>
        <w:t xml:space="preserve">test and Fisher’s exact tests. Significance was defined as </w:t>
      </w:r>
      <w:r w:rsidRPr="00F61BB1">
        <w:rPr>
          <w:rFonts w:ascii="Arial Unicode MS" w:eastAsia="Arial Unicode MS" w:hAnsi="Arial Unicode MS" w:cs="Arial Unicode MS"/>
          <w:i/>
          <w:sz w:val="24"/>
          <w:szCs w:val="24"/>
        </w:rPr>
        <w:t>p</w:t>
      </w:r>
      <w:r>
        <w:rPr>
          <w:rFonts w:ascii="Arial Unicode MS" w:eastAsia="Arial Unicode MS" w:hAnsi="Arial Unicode MS" w:cs="Arial Unicode MS"/>
          <w:sz w:val="24"/>
          <w:szCs w:val="24"/>
        </w:rPr>
        <w:t>&lt;0.05.</w:t>
      </w:r>
    </w:p>
    <w:p w14:paraId="13DBB530" w14:textId="77777777" w:rsidR="003B70F9" w:rsidRDefault="00C500F7">
      <w:pPr>
        <w:widowControl w:val="0"/>
        <w:spacing w:after="200" w:line="240" w:lineRule="auto"/>
        <w:rPr>
          <w:sz w:val="24"/>
          <w:szCs w:val="24"/>
        </w:rPr>
      </w:pPr>
      <w:r>
        <w:rPr>
          <w:b/>
          <w:sz w:val="24"/>
          <w:szCs w:val="24"/>
        </w:rPr>
        <w:t>Results:</w:t>
      </w:r>
      <w:r>
        <w:rPr>
          <w:sz w:val="24"/>
          <w:szCs w:val="24"/>
        </w:rPr>
        <w:t xml:space="preserve"> </w:t>
      </w:r>
    </w:p>
    <w:p w14:paraId="5F9D6789" w14:textId="77777777" w:rsidR="00F61BB1" w:rsidRDefault="00F61BB1">
      <w:pPr>
        <w:widowControl w:val="0"/>
        <w:spacing w:after="200" w:line="240" w:lineRule="auto"/>
        <w:rPr>
          <w:sz w:val="24"/>
          <w:szCs w:val="24"/>
        </w:rPr>
      </w:pPr>
      <w:r>
        <w:rPr>
          <w:sz w:val="24"/>
          <w:szCs w:val="24"/>
        </w:rPr>
        <w:t xml:space="preserve">No significant difference was observed between insufflation or not regarding number of IACI lesions (1.5 vs 2.5, </w:t>
      </w:r>
      <w:r w:rsidRPr="00F90CCC">
        <w:rPr>
          <w:i/>
          <w:sz w:val="24"/>
          <w:szCs w:val="24"/>
        </w:rPr>
        <w:t>p</w:t>
      </w:r>
      <w:r>
        <w:rPr>
          <w:sz w:val="24"/>
          <w:szCs w:val="24"/>
        </w:rPr>
        <w:t>=0.09) or IACI total area (2.1mm</w:t>
      </w:r>
      <w:r>
        <w:rPr>
          <w:sz w:val="24"/>
          <w:szCs w:val="24"/>
          <w:vertAlign w:val="superscript"/>
        </w:rPr>
        <w:t>2</w:t>
      </w:r>
      <w:r>
        <w:rPr>
          <w:sz w:val="24"/>
          <w:szCs w:val="24"/>
        </w:rPr>
        <w:t xml:space="preserve"> vs 2.2mm</w:t>
      </w:r>
      <w:r>
        <w:rPr>
          <w:sz w:val="24"/>
          <w:szCs w:val="24"/>
          <w:vertAlign w:val="superscript"/>
        </w:rPr>
        <w:t>2</w:t>
      </w:r>
      <w:r>
        <w:rPr>
          <w:sz w:val="24"/>
          <w:szCs w:val="24"/>
        </w:rPr>
        <w:t xml:space="preserve">, </w:t>
      </w:r>
      <w:r w:rsidRPr="00F90CCC">
        <w:rPr>
          <w:i/>
          <w:sz w:val="24"/>
          <w:szCs w:val="24"/>
        </w:rPr>
        <w:t>p</w:t>
      </w:r>
      <w:r>
        <w:rPr>
          <w:sz w:val="24"/>
          <w:szCs w:val="24"/>
        </w:rPr>
        <w:t xml:space="preserve">=0.59). Insufflation resulted in significantly longer procedure time (99.9 seconds vs 14.4 seconds, </w:t>
      </w:r>
      <w:r w:rsidRPr="00F90CCC">
        <w:rPr>
          <w:i/>
          <w:sz w:val="24"/>
          <w:szCs w:val="24"/>
        </w:rPr>
        <w:t>p</w:t>
      </w:r>
      <w:r>
        <w:rPr>
          <w:sz w:val="24"/>
          <w:szCs w:val="24"/>
        </w:rPr>
        <w:t xml:space="preserve">=&lt;0.0001) and higher mean difficulty score (1.5 vs 1.1, </w:t>
      </w:r>
      <w:r w:rsidRPr="00F90CCC">
        <w:rPr>
          <w:i/>
          <w:sz w:val="24"/>
          <w:szCs w:val="24"/>
        </w:rPr>
        <w:t>p</w:t>
      </w:r>
      <w:r>
        <w:rPr>
          <w:sz w:val="24"/>
          <w:szCs w:val="24"/>
        </w:rPr>
        <w:t>=0.005). IACI was 5.8 times more likely (</w:t>
      </w:r>
      <w:r>
        <w:rPr>
          <w:i/>
          <w:sz w:val="24"/>
          <w:szCs w:val="24"/>
        </w:rPr>
        <w:t>p</w:t>
      </w:r>
      <w:r>
        <w:rPr>
          <w:sz w:val="24"/>
          <w:szCs w:val="24"/>
        </w:rPr>
        <w:t>=0.03) when the insufflation needle or arthroscope sheath with obturator was repositioned.</w:t>
      </w:r>
    </w:p>
    <w:p w14:paraId="607A09EB" w14:textId="77777777" w:rsidR="00F840E2" w:rsidRDefault="00F840E2">
      <w:pPr>
        <w:widowControl w:val="0"/>
        <w:spacing w:after="200" w:line="240" w:lineRule="auto"/>
        <w:rPr>
          <w:b/>
          <w:sz w:val="24"/>
          <w:szCs w:val="24"/>
        </w:rPr>
      </w:pPr>
    </w:p>
    <w:p w14:paraId="3E917A97" w14:textId="5548AF4D" w:rsidR="003B70F9" w:rsidRDefault="00C500F7">
      <w:pPr>
        <w:widowControl w:val="0"/>
        <w:spacing w:after="200" w:line="240" w:lineRule="auto"/>
        <w:rPr>
          <w:sz w:val="24"/>
          <w:szCs w:val="24"/>
        </w:rPr>
      </w:pPr>
      <w:r>
        <w:rPr>
          <w:b/>
          <w:sz w:val="24"/>
          <w:szCs w:val="24"/>
        </w:rPr>
        <w:lastRenderedPageBreak/>
        <w:t>Conclusion:</w:t>
      </w:r>
      <w:r>
        <w:rPr>
          <w:sz w:val="24"/>
          <w:szCs w:val="24"/>
        </w:rPr>
        <w:t xml:space="preserve"> </w:t>
      </w:r>
    </w:p>
    <w:p w14:paraId="494C1082" w14:textId="0F2ACE9D" w:rsidR="003B70F9" w:rsidRDefault="00C500F7">
      <w:pPr>
        <w:widowControl w:val="0"/>
        <w:spacing w:after="200" w:line="240" w:lineRule="auto"/>
        <w:rPr>
          <w:sz w:val="24"/>
          <w:szCs w:val="24"/>
        </w:rPr>
      </w:pPr>
      <w:r>
        <w:rPr>
          <w:sz w:val="24"/>
          <w:szCs w:val="24"/>
        </w:rPr>
        <w:t xml:space="preserve">Insufflation prior to establishing an arthroscope portal was not noted to decrease </w:t>
      </w:r>
      <w:r w:rsidR="00203A2C">
        <w:rPr>
          <w:sz w:val="24"/>
          <w:szCs w:val="24"/>
        </w:rPr>
        <w:t xml:space="preserve">the occurrence or area of IACI, but did result in longer procedure time. </w:t>
      </w:r>
      <w:bookmarkStart w:id="0" w:name="_GoBack"/>
      <w:bookmarkEnd w:id="0"/>
      <w:r w:rsidR="00D4526A">
        <w:rPr>
          <w:sz w:val="24"/>
          <w:szCs w:val="24"/>
        </w:rPr>
        <w:t xml:space="preserve">Limitations of this study include small sample size and lack of naturally occurring stifle effusion secondary to orthopedic disease. </w:t>
      </w:r>
      <w:r>
        <w:rPr>
          <w:sz w:val="24"/>
          <w:szCs w:val="24"/>
        </w:rPr>
        <w:t>This study suggests that insufflation may not be necessary prior to es</w:t>
      </w:r>
      <w:r w:rsidR="00D4526A">
        <w:rPr>
          <w:sz w:val="24"/>
          <w:szCs w:val="24"/>
        </w:rPr>
        <w:t>tablishing arthroscope portals.</w:t>
      </w:r>
    </w:p>
    <w:p w14:paraId="00000007" w14:textId="06221E7A" w:rsidR="00E43F19" w:rsidRDefault="00C500F7">
      <w:pPr>
        <w:widowControl w:val="0"/>
        <w:spacing w:after="200" w:line="240" w:lineRule="auto"/>
        <w:rPr>
          <w:sz w:val="24"/>
          <w:szCs w:val="24"/>
        </w:rPr>
      </w:pPr>
      <w:r>
        <w:rPr>
          <w:b/>
          <w:sz w:val="24"/>
          <w:szCs w:val="24"/>
        </w:rPr>
        <w:t>References:</w:t>
      </w:r>
      <w:r>
        <w:rPr>
          <w:sz w:val="24"/>
          <w:szCs w:val="24"/>
        </w:rPr>
        <w:t xml:space="preserve"> </w:t>
      </w:r>
    </w:p>
    <w:p w14:paraId="2E5C537B" w14:textId="77777777" w:rsidR="003B70F9" w:rsidRPr="003B70F9" w:rsidRDefault="003B70F9" w:rsidP="003B70F9">
      <w:pPr>
        <w:pStyle w:val="NormalWeb"/>
        <w:numPr>
          <w:ilvl w:val="0"/>
          <w:numId w:val="1"/>
        </w:numPr>
        <w:spacing w:before="0" w:beforeAutospacing="0" w:after="0" w:afterAutospacing="0"/>
        <w:textAlignment w:val="baseline"/>
        <w:rPr>
          <w:rFonts w:ascii="Arial" w:hAnsi="Arial" w:cs="Arial"/>
          <w:color w:val="000000"/>
        </w:rPr>
      </w:pPr>
      <w:r w:rsidRPr="003B70F9">
        <w:rPr>
          <w:rFonts w:ascii="Arial" w:hAnsi="Arial" w:cs="Arial"/>
          <w:color w:val="000000"/>
        </w:rPr>
        <w:t>Cook JL, Kuroki K, Visco D, Pelletier JP, Schulz L, Lafeber FP. The OARSI histopathology initiative—recommendations for histological assessments of osteoarthritis in the dog. Osteoarthritis Cartilage. 2010;3:S66-S79. </w:t>
      </w:r>
    </w:p>
    <w:p w14:paraId="40659793" w14:textId="77777777" w:rsidR="003B70F9" w:rsidRDefault="003B70F9" w:rsidP="003B70F9">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Warnock JJ, Nemanic S, O’Donnell MD, Bobe G. Comparison of 2 fluid ingress/egress systems for canine stifle arthroscopy using computed tomography. Vet Surg. 2014;43:944-951. </w:t>
      </w:r>
    </w:p>
    <w:p w14:paraId="1474B114" w14:textId="77777777" w:rsidR="003B70F9" w:rsidRDefault="003B70F9" w:rsidP="003B70F9">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Rogatko CP, Warnock J, Verpaalen V, Bobe G. Comparison of iatrogenic articular cartilage injury in canine stifle arthroscopy versus medial parapatellar mini-arthrotomy. Vet Surg. 2018;47(S1):O6-O14. </w:t>
      </w:r>
    </w:p>
    <w:p w14:paraId="5BBA1B77" w14:textId="77777777" w:rsidR="003B70F9" w:rsidRDefault="003B70F9" w:rsidP="003B70F9">
      <w:pPr>
        <w:pStyle w:val="NormalWeb"/>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Cortés III I, Warnock JJ, Ranganathan B, Bobe G. Iatrogenic cartilage injury associated with the use of stainless-steel cannulas and silicone-guarded cannulas for canine stifle arthroscopy. Veterinary Surgery. 2019;48:1456–1465</w:t>
      </w:r>
    </w:p>
    <w:p w14:paraId="65F7DA3A" w14:textId="14E3DC75" w:rsidR="003B70F9" w:rsidRPr="00874BA3" w:rsidRDefault="003B70F9" w:rsidP="00F61BB1">
      <w:pPr>
        <w:pStyle w:val="NormalWeb"/>
        <w:numPr>
          <w:ilvl w:val="0"/>
          <w:numId w:val="1"/>
        </w:numPr>
        <w:spacing w:before="0" w:beforeAutospacing="0" w:after="240" w:afterAutospacing="0"/>
        <w:textAlignment w:val="baseline"/>
        <w:rPr>
          <w:rFonts w:ascii="Arial" w:hAnsi="Arial" w:cs="Arial"/>
          <w:color w:val="000000"/>
        </w:rPr>
      </w:pPr>
      <w:r>
        <w:rPr>
          <w:rFonts w:ascii="Arial" w:hAnsi="Arial" w:cs="Arial"/>
          <w:color w:val="000000"/>
        </w:rPr>
        <w:t>Wang Q, Breinan HA, Hsu HP, Spector M. Healing of defects in canine articular cartilage: distribution of nonvascular alpha-smooth muscle actin-containing cells. Wound Repair Regen. 2000;8(2): 145-158. </w:t>
      </w:r>
    </w:p>
    <w:p w14:paraId="5894AB16" w14:textId="77777777" w:rsidR="003B70F9" w:rsidRDefault="00C500F7">
      <w:pPr>
        <w:widowControl w:val="0"/>
        <w:spacing w:after="200" w:line="240" w:lineRule="auto"/>
        <w:rPr>
          <w:sz w:val="24"/>
          <w:szCs w:val="24"/>
        </w:rPr>
      </w:pPr>
      <w:r>
        <w:rPr>
          <w:b/>
          <w:sz w:val="24"/>
          <w:szCs w:val="24"/>
        </w:rPr>
        <w:t>Acknowledgements:</w:t>
      </w:r>
      <w:r>
        <w:rPr>
          <w:sz w:val="24"/>
          <w:szCs w:val="24"/>
        </w:rPr>
        <w:t xml:space="preserve"> </w:t>
      </w:r>
    </w:p>
    <w:p w14:paraId="00000008" w14:textId="707BCDD7" w:rsidR="00E43F19" w:rsidRDefault="00C500F7">
      <w:pPr>
        <w:widowControl w:val="0"/>
        <w:spacing w:after="200" w:line="240" w:lineRule="auto"/>
        <w:rPr>
          <w:sz w:val="24"/>
          <w:szCs w:val="24"/>
        </w:rPr>
      </w:pPr>
      <w:r>
        <w:rPr>
          <w:sz w:val="24"/>
          <w:szCs w:val="24"/>
        </w:rPr>
        <w:t>Funding provided by the Oregon State Department of Clinical Sciences.</w:t>
      </w:r>
    </w:p>
    <w:sectPr w:rsidR="00E43F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315D303-E586-4E00-B4CD-58A00B7AE6F9}"/>
  </w:font>
  <w:font w:name="Cambria">
    <w:panose1 w:val="02040503050406030204"/>
    <w:charset w:val="00"/>
    <w:family w:val="roman"/>
    <w:pitch w:val="variable"/>
    <w:sig w:usb0="E00006FF" w:usb1="420024FF" w:usb2="02000000" w:usb3="00000000" w:csb0="0000019F" w:csb1="00000000"/>
    <w:embedRegular r:id="rId2" w:fontKey="{66800BC6-2E6B-46A4-8625-BB58D6786F0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FEE"/>
    <w:multiLevelType w:val="multilevel"/>
    <w:tmpl w:val="52782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432D1"/>
    <w:multiLevelType w:val="multilevel"/>
    <w:tmpl w:val="7CFC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CC345B"/>
    <w:multiLevelType w:val="multilevel"/>
    <w:tmpl w:val="93EC4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0C516A"/>
    <w:multiLevelType w:val="hybridMultilevel"/>
    <w:tmpl w:val="06567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19"/>
    <w:rsid w:val="00203A2C"/>
    <w:rsid w:val="003B70F9"/>
    <w:rsid w:val="003C66E7"/>
    <w:rsid w:val="007B6D27"/>
    <w:rsid w:val="00874BA3"/>
    <w:rsid w:val="00C500F7"/>
    <w:rsid w:val="00D4526A"/>
    <w:rsid w:val="00E43F19"/>
    <w:rsid w:val="00F61BB1"/>
    <w:rsid w:val="00F8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F5880"/>
  <w15:docId w15:val="{F9B13D53-864B-4D2F-9245-55B842E0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3B70F9"/>
    <w:pPr>
      <w:ind w:left="720"/>
      <w:contextualSpacing/>
    </w:pPr>
  </w:style>
  <w:style w:type="paragraph" w:styleId="NormalWeb">
    <w:name w:val="Normal (Web)"/>
    <w:basedOn w:val="Normal"/>
    <w:uiPriority w:val="99"/>
    <w:unhideWhenUsed/>
    <w:rsid w:val="003B70F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34790">
      <w:bodyDiv w:val="1"/>
      <w:marLeft w:val="0"/>
      <w:marRight w:val="0"/>
      <w:marTop w:val="0"/>
      <w:marBottom w:val="0"/>
      <w:divBdr>
        <w:top w:val="none" w:sz="0" w:space="0" w:color="auto"/>
        <w:left w:val="none" w:sz="0" w:space="0" w:color="auto"/>
        <w:bottom w:val="none" w:sz="0" w:space="0" w:color="auto"/>
        <w:right w:val="none" w:sz="0" w:space="0" w:color="auto"/>
      </w:divBdr>
    </w:div>
    <w:div w:id="1166629083">
      <w:bodyDiv w:val="1"/>
      <w:marLeft w:val="0"/>
      <w:marRight w:val="0"/>
      <w:marTop w:val="0"/>
      <w:marBottom w:val="0"/>
      <w:divBdr>
        <w:top w:val="none" w:sz="0" w:space="0" w:color="auto"/>
        <w:left w:val="none" w:sz="0" w:space="0" w:color="auto"/>
        <w:bottom w:val="none" w:sz="0" w:space="0" w:color="auto"/>
        <w:right w:val="none" w:sz="0" w:space="0" w:color="auto"/>
      </w:divBdr>
    </w:div>
    <w:div w:id="1324352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dlwatt</dc:creator>
  <cp:lastModifiedBy>dlwatt</cp:lastModifiedBy>
  <cp:revision>6</cp:revision>
  <dcterms:created xsi:type="dcterms:W3CDTF">2025-11-02T03:47:00Z</dcterms:created>
  <dcterms:modified xsi:type="dcterms:W3CDTF">2025-11-02T03:57:00Z</dcterms:modified>
</cp:coreProperties>
</file>