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66" w:line="240" w:lineRule="auto"/>
        <w:ind w:left="0" w:right="0" w:firstLine="0"/>
        <w:jc w:val="left"/>
        <w:rPr>
          <w:rFonts w:ascii="Arial" w:cs="Arial" w:hAnsi="Arial" w:eastAsia="Arial"/>
          <w:shd w:val="clear" w:color="auto" w:fill="fcfcfc"/>
          <w:rtl w:val="0"/>
        </w:rPr>
      </w:pPr>
      <w:r>
        <w:rPr>
          <w:rFonts w:ascii="Arial" w:hAnsi="Arial"/>
          <w:b w:val="1"/>
          <w:bCs w:val="1"/>
          <w:shd w:val="clear" w:color="auto" w:fill="fcfcfc"/>
          <w:rtl w:val="0"/>
          <w:lang w:val="fr-FR"/>
        </w:rPr>
        <w:t xml:space="preserve">Objective: </w:t>
      </w:r>
      <w:r>
        <w:rPr>
          <w:rFonts w:ascii="Arial" w:hAnsi="Arial"/>
          <w:shd w:val="clear" w:color="auto" w:fill="fcfcfc"/>
          <w:rtl w:val="0"/>
          <w:lang w:val="en-US"/>
        </w:rPr>
        <w:t xml:space="preserve">Degenerative lumbosacral stenosis (DLSS) is the most common cause of cauda equina syndrome in dogs. It results in compression or entrapment of the cauda equina and/or L7 nerve roots, leading to </w:t>
      </w:r>
      <w:r>
        <w:rPr>
          <w:rFonts w:ascii="Arial" w:hAnsi="Arial"/>
          <w:shd w:val="clear" w:color="auto" w:fill="fcfcfc"/>
          <w:rtl w:val="0"/>
          <w:lang w:val="en-US"/>
        </w:rPr>
        <w:t>clinical signs</w:t>
      </w:r>
      <w:r>
        <w:rPr>
          <w:rFonts w:ascii="Arial" w:hAnsi="Arial"/>
          <w:shd w:val="clear" w:color="auto" w:fill="fcfcfc"/>
          <w:rtl w:val="0"/>
        </w:rPr>
        <w:t xml:space="preserve"> </w:t>
      </w:r>
      <w:r>
        <w:rPr>
          <w:rFonts w:ascii="Arial" w:hAnsi="Arial"/>
          <w:shd w:val="clear" w:color="auto" w:fill="fcfcfc"/>
          <w:rtl w:val="0"/>
          <w:lang w:val="en-US"/>
        </w:rPr>
        <w:t>including</w:t>
      </w:r>
      <w:r>
        <w:rPr>
          <w:rFonts w:ascii="Arial" w:hAnsi="Arial"/>
          <w:shd w:val="clear" w:color="auto" w:fill="fcfcfc"/>
          <w:rtl w:val="0"/>
          <w:lang w:val="en-US"/>
        </w:rPr>
        <w:t xml:space="preserve"> lumbar pain, hind limb lameness, decreased stamina, reluctance to jump, rise, or climb stairs, and neurological deficits like incontinence and self-mutilation</w:t>
      </w:r>
      <w:r>
        <w:rPr>
          <w:rFonts w:ascii="Arial" w:hAnsi="Arial"/>
          <w:shd w:val="clear" w:color="auto" w:fill="fcfcfc"/>
          <w:rtl w:val="0"/>
          <w:lang w:val="en-US"/>
        </w:rPr>
        <w:t>.</w:t>
      </w:r>
      <w:r>
        <w:rPr>
          <w:rFonts w:ascii="Arial" w:hAnsi="Arial"/>
          <w:shd w:val="clear" w:color="auto" w:fill="fcfcfc"/>
          <w:vertAlign w:val="superscript"/>
          <w:rtl w:val="0"/>
          <w:lang w:val="en-US"/>
        </w:rPr>
        <w:t>1</w:t>
      </w:r>
      <w:r>
        <w:rPr>
          <w:rFonts w:ascii="Arial" w:hAnsi="Arial"/>
          <w:shd w:val="clear" w:color="auto" w:fill="fcfcfc"/>
          <w:rtl w:val="0"/>
        </w:rPr>
        <w:t xml:space="preserve"> D</w:t>
      </w:r>
      <w:r>
        <w:rPr>
          <w:rFonts w:ascii="Arial" w:hAnsi="Arial"/>
          <w:shd w:val="clear" w:color="auto" w:fill="fcfcfc"/>
          <w:rtl w:val="0"/>
          <w:lang w:val="en-US"/>
        </w:rPr>
        <w:t>egenerative lumbosacral stenosis</w:t>
      </w:r>
      <w:r>
        <w:rPr>
          <w:rFonts w:ascii="Arial" w:hAnsi="Arial"/>
          <w:shd w:val="clear" w:color="auto" w:fill="fcfcfc"/>
          <w:rtl w:val="0"/>
          <w:lang w:val="en-US"/>
        </w:rPr>
        <w:t xml:space="preserve"> is often misdiagnosed or overlooked because its symptoms overlap with other orthopedic or neurological disorders. Surgical treatments for DLSS include L7</w:t>
      </w:r>
      <w:r>
        <w:rPr>
          <w:rFonts w:ascii="Arial" w:hAnsi="Arial" w:hint="default"/>
          <w:shd w:val="clear" w:color="auto" w:fill="fcfcfc"/>
          <w:rtl w:val="0"/>
        </w:rPr>
        <w:t>–</w:t>
      </w:r>
      <w:r>
        <w:rPr>
          <w:rFonts w:ascii="Arial" w:hAnsi="Arial"/>
          <w:shd w:val="clear" w:color="auto" w:fill="fcfcfc"/>
          <w:rtl w:val="0"/>
          <w:lang w:val="en-US"/>
        </w:rPr>
        <w:t>S1 distraction and stabilization using techniques such as facet pin or screw fixation, vertebral body fixation with lag screws or pins, and polymethylmethacrylate (PMMA), SOP plates, and pedicle-screw rod fixation (PSRF). Achieving sustained rigid fixation is often difficult because maintaining adequate intervertebral bone contact for fusion is challenging, even with bone grafting. In human medicine, interbody cages improve fusion rates, reduce pain, shorten hospital stays, and lower complication rates compared to bone grafts alone. Although initial success has been seen with discectomy and fixation, sustained lumbosacral interbody vertebral fusion in canines has not yet been reliably achieved</w:t>
      </w:r>
      <w:r>
        <w:rPr>
          <w:rFonts w:ascii="Arial" w:hAnsi="Arial"/>
          <w:shd w:val="clear" w:color="auto" w:fill="fcfcfc"/>
          <w:rtl w:val="0"/>
          <w:lang w:val="en-US"/>
        </w:rPr>
        <w:t>.</w:t>
      </w:r>
      <w:r>
        <w:rPr>
          <w:rFonts w:ascii="Arial" w:hAnsi="Arial"/>
          <w:shd w:val="clear" w:color="auto" w:fill="fcfcfc"/>
          <w:vertAlign w:val="superscript"/>
          <w:rtl w:val="0"/>
          <w:lang w:val="en-US"/>
        </w:rPr>
        <w:t>2-4</w:t>
      </w:r>
      <w:r>
        <w:rPr>
          <w:rFonts w:ascii="Arial" w:hAnsi="Arial"/>
          <w:shd w:val="clear" w:color="auto" w:fill="fcfcfc"/>
          <w:rtl w:val="0"/>
        </w:rPr>
        <w:t xml:space="preserve"> </w:t>
      </w:r>
      <w:r>
        <w:rPr>
          <w:rFonts w:ascii="Arial" w:hAnsi="Arial"/>
          <w:shd w:val="clear" w:color="auto" w:fill="fcfcfc"/>
          <w:rtl w:val="0"/>
          <w:lang w:val="en-US"/>
        </w:rPr>
        <w:t>T</w:t>
      </w:r>
      <w:r>
        <w:rPr>
          <w:rFonts w:ascii="Arial" w:hAnsi="Arial"/>
          <w:shd w:val="clear" w:color="auto" w:fill="fcfcfc"/>
          <w:rtl w:val="0"/>
          <w:lang w:val="en-US"/>
        </w:rPr>
        <w:t>his study aimed</w:t>
      </w:r>
      <w:r>
        <w:rPr>
          <w:rFonts w:ascii="Arial" w:hAnsi="Arial"/>
          <w:shd w:val="clear" w:color="auto" w:fill="fcfcfc"/>
          <w:rtl w:val="0"/>
          <w:lang w:val="en-US"/>
        </w:rPr>
        <w:t xml:space="preserve"> to </w:t>
      </w:r>
      <w:r>
        <w:rPr>
          <w:rFonts w:ascii="Arial" w:hAnsi="Arial"/>
          <w:shd w:val="clear" w:color="auto" w:fill="fcfcfc"/>
          <w:rtl w:val="0"/>
          <w:lang w:val="en-US"/>
        </w:rPr>
        <w:t xml:space="preserve">evaluate the clinical </w:t>
      </w:r>
      <w:r>
        <w:rPr>
          <w:rFonts w:ascii="Arial" w:hAnsi="Arial"/>
          <w:shd w:val="clear" w:color="auto" w:fill="fcfcfc"/>
          <w:rtl w:val="0"/>
          <w:lang w:val="en-US"/>
        </w:rPr>
        <w:t xml:space="preserve">outcomes and owner satisfaction with </w:t>
      </w:r>
      <w:r>
        <w:rPr>
          <w:rFonts w:ascii="Arial" w:hAnsi="Arial"/>
          <w:shd w:val="clear" w:color="auto" w:fill="fcfcfc"/>
          <w:rtl w:val="0"/>
          <w:lang w:val="en-US"/>
        </w:rPr>
        <w:t xml:space="preserve">PSRF, distraction, and interbody cage implantation in dogs with DLSS. </w:t>
      </w:r>
      <w:r>
        <w:rPr>
          <w:rFonts w:ascii="Arial" w:hAnsi="Arial"/>
          <w:shd w:val="clear" w:color="auto" w:fill="fcfcfc"/>
          <w:rtl w:val="0"/>
          <w:lang w:val="en-US"/>
        </w:rPr>
        <w:t>We hypothesized</w:t>
      </w:r>
      <w:r>
        <w:rPr>
          <w:rFonts w:ascii="Arial" w:hAnsi="Arial"/>
          <w:shd w:val="clear" w:color="auto" w:fill="fcfcfc"/>
          <w:rtl w:val="0"/>
          <w:lang w:val="en-US"/>
        </w:rPr>
        <w:t xml:space="preserve"> that this combination of procedures would be </w:t>
      </w:r>
      <w:r>
        <w:rPr>
          <w:rFonts w:ascii="Arial" w:hAnsi="Arial"/>
          <w:shd w:val="clear" w:color="auto" w:fill="fcfcfc"/>
          <w:rtl w:val="0"/>
          <w:lang w:val="en-US"/>
        </w:rPr>
        <w:t>associated with improved clinical severity scores.</w:t>
      </w:r>
    </w:p>
    <w:p>
      <w:pPr>
        <w:pStyle w:val="Default"/>
        <w:bidi w:val="0"/>
        <w:spacing w:before="0" w:after="266" w:line="240" w:lineRule="auto"/>
        <w:ind w:left="0" w:right="0" w:firstLine="0"/>
        <w:jc w:val="left"/>
        <w:rPr>
          <w:rFonts w:ascii="Arial" w:cs="Arial" w:hAnsi="Arial" w:eastAsia="Arial"/>
          <w:shd w:val="clear" w:color="auto" w:fill="ffffff"/>
          <w:rtl w:val="0"/>
        </w:rPr>
      </w:pPr>
      <w:r>
        <w:rPr>
          <w:rFonts w:ascii="Arial" w:hAnsi="Arial"/>
          <w:b w:val="1"/>
          <w:bCs w:val="1"/>
          <w:shd w:val="clear" w:color="auto" w:fill="fcfcfc"/>
          <w:rtl w:val="0"/>
          <w:lang w:val="en-US"/>
        </w:rPr>
        <w:t xml:space="preserve">Study Design: </w:t>
      </w:r>
      <w:r>
        <w:rPr>
          <w:rFonts w:ascii="Arial" w:hAnsi="Arial"/>
          <w:shd w:val="clear" w:color="auto" w:fill="fcfcfc"/>
          <w:rtl w:val="0"/>
          <w:lang w:val="en-US"/>
        </w:rPr>
        <w:t>Medical records of all dogs treated with PSRF for DLSS at a private veterinary hospital from 2018 to 2025 were reviewed retrospectively. Inclusion required DLSS cases undergoing PSRF; cases using PSRF for other reasons, and all cats were excluded. Data collected included signalment, medical history, physical and neurological exams, prior treatments, implant details, imaging, and complications.</w:t>
      </w:r>
      <w:r>
        <w:rPr>
          <w:rFonts w:ascii="Arial" w:hAnsi="Arial"/>
          <w:shd w:val="clear" w:color="auto" w:fill="fcfcfc"/>
          <w:rtl w:val="0"/>
          <w:lang w:val="en-US"/>
        </w:rPr>
        <w:t xml:space="preserve"> </w:t>
      </w:r>
      <w:r>
        <w:rPr>
          <w:rFonts w:ascii="Arial" w:hAnsi="Arial"/>
          <w:sz w:val="16"/>
          <w:szCs w:val="16"/>
          <w:shd w:val="clear" w:color="auto" w:fill="fcfcfc"/>
          <w:vertAlign w:val="superscript"/>
          <w:rtl w:val="0"/>
        </w:rPr>
        <w:t>5</w:t>
      </w:r>
      <w:r>
        <w:rPr>
          <w:rFonts w:ascii="Arial" w:hAnsi="Arial"/>
          <w:shd w:val="clear" w:color="auto" w:fill="fcfcfc"/>
          <w:rtl w:val="0"/>
          <w:lang w:val="en-US"/>
        </w:rPr>
        <w:t xml:space="preserve"> Surgical approach was recorded</w:t>
      </w:r>
      <w:r>
        <w:rPr>
          <w:rFonts w:ascii="Arial" w:hAnsi="Arial"/>
          <w:shd w:val="clear" w:color="auto" w:fill="fcfcfc"/>
          <w:rtl w:val="0"/>
          <w:lang w:val="en-US"/>
        </w:rPr>
        <w:t xml:space="preserve"> (Figure 1).</w:t>
      </w:r>
      <w:r>
        <w:rPr>
          <w:rFonts w:ascii="Arial" w:hAnsi="Arial"/>
          <w:shd w:val="clear" w:color="auto" w:fill="fcfcfc"/>
          <w:rtl w:val="0"/>
          <w:lang w:val="en-US"/>
        </w:rPr>
        <w:t xml:space="preserve"> All implants were designed and manufactured by ArteMedics, using polyaxial pedicle screws, titanium rods, and polyetheretherketone (PEEK) with hydroxyapatite (HA) </w:t>
      </w:r>
      <w:r>
        <w:rPr>
          <w:rFonts w:ascii="Arial" w:hAnsi="Arial"/>
          <w:shd w:val="clear" w:color="auto" w:fill="fcfcfc"/>
          <w:rtl w:val="0"/>
          <w:lang w:val="en-US"/>
        </w:rPr>
        <w:t xml:space="preserve">infused </w:t>
      </w:r>
      <w:r>
        <w:rPr>
          <w:rFonts w:ascii="Arial" w:hAnsi="Arial"/>
          <w:shd w:val="clear" w:color="auto" w:fill="fcfcfc"/>
          <w:rtl w:val="0"/>
          <w:lang w:val="en-US"/>
        </w:rPr>
        <w:t>intervertebral cages. Long-term outcomes were assessed via physical, neurological, and radiographic exams, as well as owner surveys. Clinical signs were assigned severity scores (0-5) at each evaluation.</w:t>
      </w:r>
    </w:p>
    <w:p>
      <w:pPr>
        <w:pStyle w:val="Default"/>
        <w:bidi w:val="0"/>
        <w:spacing w:before="0" w:after="266" w:line="240" w:lineRule="auto"/>
        <w:ind w:left="0" w:right="0" w:firstLine="0"/>
        <w:jc w:val="left"/>
        <w:rPr>
          <w:rFonts w:ascii="Arial" w:cs="Arial" w:hAnsi="Arial" w:eastAsia="Arial"/>
          <w:shd w:val="clear" w:color="auto" w:fill="fcfcfc"/>
          <w:rtl w:val="0"/>
        </w:rPr>
      </w:pPr>
      <w:r>
        <w:rPr>
          <w:rFonts w:ascii="Arial" w:hAnsi="Arial"/>
          <w:b w:val="1"/>
          <w:bCs w:val="1"/>
          <w:shd w:val="clear" w:color="auto" w:fill="fcfcfc"/>
          <w:rtl w:val="0"/>
          <w:lang w:val="en-US"/>
        </w:rPr>
        <w:t xml:space="preserve">Results: </w:t>
      </w:r>
      <w:r>
        <w:rPr>
          <w:rFonts w:ascii="Arial" w:hAnsi="Arial"/>
          <w:shd w:val="clear" w:color="auto" w:fill="fcfcfc"/>
          <w:rtl w:val="0"/>
          <w:lang w:val="en-US"/>
        </w:rPr>
        <w:t xml:space="preserve">Fifty-two dogs met all inclusion criteria; five </w:t>
      </w:r>
      <w:r>
        <w:rPr>
          <w:rFonts w:ascii="Arial" w:hAnsi="Arial"/>
          <w:shd w:val="clear" w:color="auto" w:fill="fcfcfc"/>
          <w:rtl w:val="0"/>
          <w:lang w:val="en-US"/>
        </w:rPr>
        <w:t xml:space="preserve">other </w:t>
      </w:r>
      <w:r>
        <w:rPr>
          <w:rFonts w:ascii="Arial" w:hAnsi="Arial"/>
          <w:shd w:val="clear" w:color="auto" w:fill="fcfcfc"/>
          <w:rtl w:val="0"/>
          <w:lang w:val="en-US"/>
        </w:rPr>
        <w:t>cases were excluded due to incomplete records, inherent bias, or death from unrelated causes prior to follow-up. A single board-certified surgeon performed all procedures. The study group consisted of 13 spayed females, 3 intact females, 26 neutered males, and 10 intact males (including one cryptorchid). The me</w:t>
      </w:r>
      <w:r>
        <w:rPr>
          <w:rFonts w:ascii="Arial" w:hAnsi="Arial"/>
          <w:shd w:val="clear" w:color="auto" w:fill="fcfcfc"/>
          <w:rtl w:val="0"/>
          <w:lang w:val="en-US"/>
        </w:rPr>
        <w:t>dian</w:t>
      </w:r>
      <w:r>
        <w:rPr>
          <w:rFonts w:ascii="Arial" w:hAnsi="Arial"/>
          <w:shd w:val="clear" w:color="auto" w:fill="fcfcfc"/>
          <w:rtl w:val="0"/>
          <w:lang w:val="en-US"/>
        </w:rPr>
        <w:t xml:space="preserve"> age was 5.75 years (</w:t>
      </w:r>
      <w:r>
        <w:rPr>
          <w:rFonts w:ascii="Arial" w:hAnsi="Arial"/>
          <w:shd w:val="clear" w:color="auto" w:fill="fcfcfc"/>
          <w:rtl w:val="0"/>
          <w:lang w:val="en-US"/>
        </w:rPr>
        <w:t>IQR</w:t>
      </w:r>
      <w:r>
        <w:rPr>
          <w:rFonts w:ascii="Arial" w:hAnsi="Arial"/>
          <w:shd w:val="clear" w:color="auto" w:fill="fcfcfc"/>
          <w:rtl w:val="0"/>
        </w:rPr>
        <w:t>: 1</w:t>
      </w:r>
      <w:r>
        <w:rPr>
          <w:rFonts w:ascii="Arial" w:hAnsi="Arial" w:hint="default"/>
          <w:shd w:val="clear" w:color="auto" w:fill="fcfcfc"/>
          <w:rtl w:val="0"/>
        </w:rPr>
        <w:t>–</w:t>
      </w:r>
      <w:r>
        <w:rPr>
          <w:rFonts w:ascii="Arial" w:hAnsi="Arial"/>
          <w:shd w:val="clear" w:color="auto" w:fill="fcfcfc"/>
          <w:rtl w:val="0"/>
          <w:lang w:val="en-US"/>
        </w:rPr>
        <w:t>11 years). The median body weight was 34 kg (IQR: 8.5</w:t>
      </w:r>
      <w:r>
        <w:rPr>
          <w:rFonts w:ascii="Arial" w:hAnsi="Arial" w:hint="default"/>
          <w:shd w:val="clear" w:color="auto" w:fill="fcfcfc"/>
          <w:rtl w:val="0"/>
        </w:rPr>
        <w:t>–</w:t>
      </w:r>
      <w:r>
        <w:rPr>
          <w:rFonts w:ascii="Arial" w:hAnsi="Arial"/>
          <w:shd w:val="clear" w:color="auto" w:fill="fcfcfc"/>
          <w:rtl w:val="0"/>
          <w:lang w:val="en-US"/>
        </w:rPr>
        <w:t xml:space="preserve">82 kg). Seventeen breeds were represented: German Shepherd and German Shepherd mixes were the most common [30.7% (16/52)], followed by Labrador Retriever [19.2% (10/52)], mixed breed [9.6% (5/52)], and Belgian Malinois [7.7% (4/52)]. </w:t>
      </w:r>
      <w:r>
        <w:rPr>
          <w:rFonts w:ascii="Arial" w:hAnsi="Arial"/>
          <w:shd w:val="clear" w:color="auto" w:fill="fcfcfc"/>
          <w:rtl w:val="0"/>
          <w:lang w:val="en-US"/>
        </w:rPr>
        <w:t xml:space="preserve">Nine other </w:t>
      </w:r>
      <w:r>
        <w:rPr>
          <w:rFonts w:ascii="Arial" w:hAnsi="Arial"/>
          <w:shd w:val="clear" w:color="auto" w:fill="fcfcfc"/>
          <w:rtl w:val="0"/>
          <w:lang w:val="en-US"/>
        </w:rPr>
        <w:t>breeds were represented by one dog each. Thirteen cases (25%) involved working or military dogs,</w:t>
      </w:r>
      <w:r>
        <w:rPr>
          <w:rFonts w:ascii="Arial" w:hAnsi="Arial"/>
          <w:shd w:val="clear" w:color="auto" w:fill="fcfcfc"/>
          <w:rtl w:val="0"/>
          <w:lang w:val="en-US"/>
        </w:rPr>
        <w:t xml:space="preserve"> of </w:t>
      </w:r>
      <w:r>
        <w:rPr>
          <w:rFonts w:ascii="Arial" w:hAnsi="Arial"/>
          <w:shd w:val="clear" w:color="auto" w:fill="fcfcfc"/>
          <w:rtl w:val="0"/>
          <w:lang w:val="en-US"/>
        </w:rPr>
        <w:t xml:space="preserve">which 46% (6/13) were agency-owned. </w:t>
      </w:r>
      <w:r>
        <w:rPr>
          <w:rFonts w:ascii="Arial" w:hAnsi="Arial"/>
          <w:shd w:val="clear" w:color="auto" w:fill="fcfcfc"/>
          <w:rtl w:val="0"/>
          <w:lang w:val="en-US"/>
        </w:rPr>
        <w:t xml:space="preserve">Forty-two cases had </w:t>
      </w:r>
      <w:r>
        <w:rPr>
          <w:rFonts w:ascii="Arial" w:hAnsi="Arial"/>
          <w:shd w:val="clear" w:color="auto" w:fill="fcfcfc"/>
          <w:rtl w:val="0"/>
          <w:lang w:val="nl-NL"/>
        </w:rPr>
        <w:t>interbody</w:t>
      </w:r>
      <w:r>
        <w:rPr>
          <w:rFonts w:ascii="Arial" w:hAnsi="Arial"/>
          <w:shd w:val="clear" w:color="auto" w:fill="fcfcfc"/>
          <w:rtl w:val="0"/>
          <w:lang w:val="en-US"/>
        </w:rPr>
        <w:t xml:space="preserve"> cage placement, and 12% (5) required cage </w:t>
      </w:r>
      <w:r>
        <w:rPr>
          <w:rFonts w:ascii="Arial" w:hAnsi="Arial"/>
          <w:shd w:val="clear" w:color="auto" w:fill="fcfcfc"/>
          <w:rtl w:val="0"/>
          <w:lang w:val="en-US"/>
        </w:rPr>
        <w:t>explantation due to dorsal cage migration</w:t>
      </w:r>
      <w:r>
        <w:rPr>
          <w:rFonts w:ascii="Arial" w:hAnsi="Arial"/>
          <w:shd w:val="clear" w:color="auto" w:fill="fcfcfc"/>
          <w:rtl w:val="0"/>
          <w:lang w:val="en-US"/>
        </w:rPr>
        <w:t xml:space="preserve"> or infection. There were 3.8% (2/52) catastrophic complications</w:t>
      </w:r>
      <w:r>
        <w:rPr>
          <w:rFonts w:ascii="Arial" w:hAnsi="Arial"/>
          <w:shd w:val="clear" w:color="auto" w:fill="fcfcfc"/>
          <w:rtl w:val="0"/>
        </w:rPr>
        <w:t>,</w:t>
      </w:r>
      <w:r>
        <w:rPr>
          <w:rFonts w:ascii="Arial" w:hAnsi="Arial"/>
          <w:shd w:val="clear" w:color="auto" w:fill="fcfcfc"/>
          <w:rtl w:val="0"/>
          <w:lang w:val="en-US"/>
        </w:rPr>
        <w:t xml:space="preserve"> and major complications occurred in 25% (13/52) of cases. Catastrophic complications included persistent fecal and urinary incontinence and sepsis.</w:t>
      </w:r>
      <w:r>
        <w:rPr>
          <w:rFonts w:ascii="Arial" w:hAnsi="Arial"/>
          <w:shd w:val="clear" w:color="auto" w:fill="fcfcfc"/>
          <w:rtl w:val="0"/>
          <w:lang w:val="en-US"/>
        </w:rPr>
        <w:t xml:space="preserve"> Major complications included incision </w:t>
      </w:r>
      <w:r>
        <w:rPr>
          <w:rFonts w:ascii="Arial" w:hAnsi="Arial"/>
          <w:shd w:val="clear" w:color="auto" w:fill="fcfcfc"/>
          <w:rtl w:val="0"/>
          <w:lang w:val="en-US"/>
        </w:rPr>
        <w:t>and</w:t>
      </w:r>
      <w:r>
        <w:rPr>
          <w:rFonts w:ascii="Arial" w:hAnsi="Arial"/>
          <w:shd w:val="clear" w:color="auto" w:fill="fcfcfc"/>
          <w:rtl w:val="0"/>
          <w:lang w:val="en-US"/>
        </w:rPr>
        <w:t xml:space="preserve"> implant infection, trial cage fracture, dis</w:t>
      </w:r>
      <w:r>
        <w:rPr>
          <w:rFonts w:ascii="Arial" w:hAnsi="Arial"/>
          <w:shd w:val="clear" w:color="auto" w:fill="fcfcfc"/>
          <w:rtl w:val="0"/>
          <w:lang w:val="en-US"/>
        </w:rPr>
        <w:t>c</w:t>
      </w:r>
      <w:r>
        <w:rPr>
          <w:rFonts w:ascii="Arial" w:hAnsi="Arial"/>
          <w:shd w:val="clear" w:color="auto" w:fill="fcfcfc"/>
          <w:rtl w:val="0"/>
        </w:rPr>
        <w:t xml:space="preserve">ospondylitis, </w:t>
      </w:r>
      <w:r>
        <w:rPr>
          <w:rFonts w:ascii="Arial" w:hAnsi="Arial"/>
          <w:shd w:val="clear" w:color="auto" w:fill="fcfcfc"/>
          <w:rtl w:val="0"/>
          <w:lang w:val="en-US"/>
        </w:rPr>
        <w:t xml:space="preserve">significant </w:t>
      </w:r>
      <w:r>
        <w:rPr>
          <w:rFonts w:ascii="Arial" w:hAnsi="Arial"/>
          <w:shd w:val="clear" w:color="auto" w:fill="fcfcfc"/>
          <w:rtl w:val="0"/>
          <w:lang w:val="en-US"/>
        </w:rPr>
        <w:t xml:space="preserve">cage migration, and loss of distraction; all required revision surgery or antibiotic intervention. Of these, 25% underwent revision or explant surgery. </w:t>
      </w:r>
      <w:r>
        <w:rPr>
          <w:rFonts w:ascii="Arial" w:hAnsi="Arial"/>
          <w:shd w:val="clear" w:color="auto" w:fill="fcfcfc"/>
          <w:rtl w:val="0"/>
          <w:lang w:val="en-US"/>
        </w:rPr>
        <w:t xml:space="preserve">The median time to revision was 140 days (IQR: 2-356). </w:t>
      </w:r>
      <w:r>
        <w:rPr>
          <w:rFonts w:ascii="Arial" w:hAnsi="Arial"/>
          <w:shd w:val="clear" w:color="auto" w:fill="fcfcfc"/>
          <w:rtl w:val="0"/>
          <w:lang w:val="en-US"/>
        </w:rPr>
        <w:t xml:space="preserve">Minor complications occurred in </w:t>
      </w:r>
      <w:r>
        <w:rPr>
          <w:rFonts w:ascii="Arial" w:hAnsi="Arial"/>
          <w:shd w:val="clear" w:color="auto" w:fill="fcfcfc"/>
          <w:rtl w:val="0"/>
          <w:lang w:val="en-US"/>
        </w:rPr>
        <w:t>32.7</w:t>
      </w:r>
      <w:r>
        <w:rPr>
          <w:rFonts w:ascii="Arial" w:hAnsi="Arial"/>
          <w:shd w:val="clear" w:color="auto" w:fill="fcfcfc"/>
          <w:rtl w:val="0"/>
        </w:rPr>
        <w:t>% (</w:t>
      </w:r>
      <w:r>
        <w:rPr>
          <w:rFonts w:ascii="Arial" w:hAnsi="Arial"/>
          <w:shd w:val="clear" w:color="auto" w:fill="fcfcfc"/>
          <w:rtl w:val="0"/>
          <w:lang w:val="en-US"/>
        </w:rPr>
        <w:t>17/52</w:t>
      </w:r>
      <w:r>
        <w:rPr>
          <w:rFonts w:ascii="Arial" w:hAnsi="Arial"/>
          <w:shd w:val="clear" w:color="auto" w:fill="fcfcfc"/>
          <w:rtl w:val="0"/>
          <w:lang w:val="en-US"/>
        </w:rPr>
        <w:t xml:space="preserve">) of cases and included seroma, </w:t>
      </w:r>
      <w:r>
        <w:rPr>
          <w:rFonts w:ascii="Arial" w:hAnsi="Arial"/>
          <w:shd w:val="clear" w:color="auto" w:fill="fcfcfc"/>
          <w:rtl w:val="0"/>
          <w:lang w:val="en-US"/>
        </w:rPr>
        <w:t xml:space="preserve">slight </w:t>
      </w:r>
      <w:r>
        <w:rPr>
          <w:rFonts w:ascii="Arial" w:hAnsi="Arial"/>
          <w:shd w:val="clear" w:color="auto" w:fill="fcfcfc"/>
          <w:rtl w:val="0"/>
          <w:lang w:val="en-US"/>
        </w:rPr>
        <w:t xml:space="preserve">cage migration, trial cage </w:t>
      </w:r>
      <w:r>
        <w:rPr>
          <w:rFonts w:ascii="Arial" w:hAnsi="Arial"/>
          <w:shd w:val="clear" w:color="auto" w:fill="fcfcfc"/>
          <w:rtl w:val="0"/>
          <w:lang w:val="en-US"/>
        </w:rPr>
        <w:t>detachment and implantation</w:t>
      </w:r>
      <w:r>
        <w:rPr>
          <w:rFonts w:ascii="Arial" w:hAnsi="Arial"/>
          <w:shd w:val="clear" w:color="auto" w:fill="fcfcfc"/>
          <w:rtl w:val="0"/>
          <w:lang w:val="en-US"/>
        </w:rPr>
        <w:t xml:space="preserve">, tail dysfunction, screw fracture, </w:t>
      </w:r>
      <w:r>
        <w:rPr>
          <w:rFonts w:ascii="Arial" w:hAnsi="Arial"/>
          <w:shd w:val="clear" w:color="auto" w:fill="fcfcfc"/>
          <w:rtl w:val="0"/>
          <w:lang w:val="en-US"/>
        </w:rPr>
        <w:t xml:space="preserve">minor urinary incontinence, </w:t>
      </w:r>
      <w:r>
        <w:rPr>
          <w:rFonts w:ascii="Arial" w:hAnsi="Arial"/>
          <w:shd w:val="clear" w:color="auto" w:fill="fcfcfc"/>
          <w:rtl w:val="0"/>
          <w:lang w:val="en-US"/>
        </w:rPr>
        <w:t xml:space="preserve">and eschar, none requiring further intervention. </w:t>
      </w:r>
      <w:r>
        <w:rPr>
          <w:rFonts w:ascii="Arial" w:hAnsi="Arial"/>
          <w:shd w:val="clear" w:color="auto" w:fill="fcfcfc"/>
          <w:rtl w:val="0"/>
          <w:lang w:val="en-US"/>
        </w:rPr>
        <w:t>Responses to the client survey were obtained from 46.5% (20/43) of the respondents, including 33% (2/6) of the agency-owned cases.</w:t>
      </w:r>
      <w:r>
        <w:rPr>
          <w:rFonts w:ascii="Arial" w:hAnsi="Arial"/>
          <w:shd w:val="clear" w:color="auto" w:fill="fcfcfc"/>
          <w:rtl w:val="0"/>
          <w:lang w:val="en-US"/>
        </w:rPr>
        <w:t xml:space="preserve"> Preoperative clinical </w:t>
      </w:r>
      <w:r>
        <w:rPr>
          <w:rFonts w:ascii="Arial" w:hAnsi="Arial"/>
          <w:shd w:val="clear" w:color="auto" w:fill="fcfcfc"/>
          <w:rtl w:val="0"/>
          <w:lang w:val="en-US"/>
        </w:rPr>
        <w:t xml:space="preserve">severity </w:t>
      </w:r>
      <w:r>
        <w:rPr>
          <w:rFonts w:ascii="Arial" w:hAnsi="Arial"/>
          <w:shd w:val="clear" w:color="auto" w:fill="fcfcfc"/>
          <w:rtl w:val="0"/>
        </w:rPr>
        <w:t>s</w:t>
      </w:r>
      <w:r>
        <w:rPr>
          <w:rFonts w:ascii="Arial" w:hAnsi="Arial"/>
          <w:shd w:val="clear" w:color="auto" w:fill="fcfcfc"/>
          <w:rtl w:val="0"/>
          <w:lang w:val="en-US"/>
        </w:rPr>
        <w:t>cores</w:t>
      </w:r>
      <w:r>
        <w:rPr>
          <w:rFonts w:ascii="Arial" w:hAnsi="Arial"/>
          <w:shd w:val="clear" w:color="auto" w:fill="fcfcfc"/>
          <w:rtl w:val="0"/>
          <w:lang w:val="en-US"/>
        </w:rPr>
        <w:t xml:space="preserve"> that improved most significantly following surgery, including reductions in back pain, pain during ambulation or postural changes, weakness or gait abnormalities, and pain with jumping or stair usage (p&lt;0.025)</w:t>
      </w:r>
      <w:r>
        <w:rPr>
          <w:rFonts w:ascii="Arial" w:hAnsi="Arial"/>
          <w:shd w:val="clear" w:color="auto" w:fill="fcfcfc"/>
          <w:rtl w:val="0"/>
          <w:lang w:val="en-US"/>
        </w:rPr>
        <w:t xml:space="preserve"> </w:t>
      </w:r>
      <w:r>
        <w:rPr>
          <w:rFonts w:ascii="Arial" w:hAnsi="Arial"/>
          <w:shd w:val="clear" w:color="auto" w:fill="fcfcfc"/>
          <w:rtl w:val="0"/>
          <w:lang w:val="en-US"/>
        </w:rPr>
        <w:t>(Table 1). 95% of respondents reported being somewhat or completely satisfied with the surgical outcome, and 90% would consider repeating the surgery (95% CI: 68.3%</w:t>
      </w:r>
      <w:r>
        <w:rPr>
          <w:rFonts w:ascii="Arial" w:hAnsi="Arial" w:hint="default"/>
          <w:shd w:val="clear" w:color="auto" w:fill="fcfcfc"/>
          <w:rtl w:val="0"/>
        </w:rPr>
        <w:t>–</w:t>
      </w:r>
      <w:r>
        <w:rPr>
          <w:rFonts w:ascii="Arial" w:hAnsi="Arial"/>
          <w:shd w:val="clear" w:color="auto" w:fill="fcfcfc"/>
          <w:rtl w:val="0"/>
        </w:rPr>
        <w:t>98.8%).</w:t>
      </w:r>
    </w:p>
    <w:p>
      <w:pPr>
        <w:pStyle w:val="Default"/>
        <w:bidi w:val="0"/>
        <w:spacing w:before="0" w:after="266" w:line="240" w:lineRule="auto"/>
        <w:ind w:left="0" w:right="0" w:firstLine="0"/>
        <w:jc w:val="left"/>
        <w:rPr>
          <w:rFonts w:ascii="Arial" w:cs="Arial" w:hAnsi="Arial" w:eastAsia="Arial"/>
          <w:shd w:val="clear" w:color="auto" w:fill="fcfcfc"/>
          <w:rtl w:val="0"/>
        </w:rPr>
      </w:pPr>
      <w:r>
        <w:rPr>
          <w:rFonts w:ascii="Arial" w:hAnsi="Arial"/>
          <w:b w:val="1"/>
          <w:bCs w:val="1"/>
          <w:shd w:val="clear" w:color="auto" w:fill="fcfcfc"/>
          <w:rtl w:val="0"/>
          <w:lang w:val="it-IT"/>
        </w:rPr>
        <w:t>Conclusion</w:t>
      </w:r>
      <w:r>
        <w:rPr>
          <w:rFonts w:ascii="Arial" w:hAnsi="Arial"/>
          <w:shd w:val="clear" w:color="auto" w:fill="fcfcfc"/>
          <w:rtl w:val="0"/>
          <w:lang w:val="en-US"/>
        </w:rPr>
        <w:t>: Long-term lumbosacral interbody vertebral fusion has rarely been achieved with traditional fixation methods, leading to recurrence of clinical signs in DLSS dogs.</w:t>
      </w:r>
      <w:r>
        <w:rPr>
          <w:rFonts w:ascii="Arial" w:hAnsi="Arial"/>
          <w:sz w:val="17"/>
          <w:szCs w:val="17"/>
          <w:shd w:val="clear" w:color="auto" w:fill="fcfcfc"/>
          <w:vertAlign w:val="superscript"/>
          <w:rtl w:val="0"/>
        </w:rPr>
        <w:t>2-4</w:t>
      </w:r>
      <w:r>
        <w:rPr>
          <w:rFonts w:ascii="Arial" w:hAnsi="Arial"/>
          <w:shd w:val="clear" w:color="auto" w:fill="fcfcfc"/>
          <w:rtl w:val="0"/>
          <w:lang w:val="en-US"/>
        </w:rPr>
        <w:t xml:space="preserve"> Although the efficacy of interbody vertebral fusion was</w:t>
      </w:r>
      <w:r>
        <w:rPr>
          <w:rFonts w:ascii="Arial" w:hAnsi="Arial"/>
          <w:shd w:val="clear" w:color="auto" w:fill="fcfcfc"/>
          <w:rtl w:val="0"/>
          <w:lang w:val="en-US"/>
        </w:rPr>
        <w:t xml:space="preserve"> no</w:t>
      </w:r>
      <w:r>
        <w:rPr>
          <w:rFonts w:ascii="Arial" w:hAnsi="Arial"/>
          <w:shd w:val="clear" w:color="auto" w:fill="fcfcfc"/>
          <w:rtl w:val="0"/>
          <w:lang w:val="en-US"/>
        </w:rPr>
        <w:t>t documented in this study, the surgical fixation method used resulted in sustained improvement of all clinical signs associated with comfort and mobility in the study dogs. We accepted our hypothesis. However, these results are limited in impact by the inconsistent treatment and recheck protocols associated with this study</w:t>
      </w:r>
      <w:r>
        <w:rPr>
          <w:rFonts w:ascii="Arial" w:hAnsi="Arial" w:hint="default"/>
          <w:shd w:val="clear" w:color="auto" w:fill="fcfcfc"/>
          <w:rtl w:val="1"/>
        </w:rPr>
        <w:t>’</w:t>
      </w:r>
      <w:r>
        <w:rPr>
          <w:rFonts w:ascii="Arial" w:hAnsi="Arial"/>
          <w:shd w:val="clear" w:color="auto" w:fill="fcfcfc"/>
          <w:rtl w:val="0"/>
          <w:lang w:val="en-US"/>
        </w:rPr>
        <w:t>s retrospective design. Most clinical signs of interest showed notable improvement, with high owner satisfaction. Based on our findings, PSRF should be considered a viable treatment option for canines with DLSS, especially when previous decompressive surgery has been unsuccessful or medical management has not alleviated low back pain.</w:t>
      </w:r>
    </w:p>
    <w:p>
      <w:pPr>
        <w:pStyle w:val="Default"/>
        <w:bidi w:val="0"/>
        <w:spacing w:before="0" w:after="266" w:line="240" w:lineRule="auto"/>
        <w:ind w:left="0" w:right="0" w:firstLine="0"/>
        <w:jc w:val="left"/>
        <w:rPr>
          <w:rFonts w:ascii="Arial" w:cs="Arial" w:hAnsi="Arial" w:eastAsia="Arial"/>
          <w:shd w:val="clear" w:color="auto" w:fill="fcfcfc"/>
          <w:rtl w:val="0"/>
        </w:rPr>
      </w:pPr>
      <w:r>
        <w:rPr>
          <w:rFonts w:ascii="Arial" w:hAnsi="Arial"/>
          <w:b w:val="1"/>
          <w:bCs w:val="1"/>
          <w:shd w:val="clear" w:color="auto" w:fill="fcfcfc"/>
          <w:rtl w:val="0"/>
          <w:lang w:val="en-US"/>
        </w:rPr>
        <w:t xml:space="preserve">Acknowledgements: </w:t>
      </w:r>
      <w:r>
        <w:rPr>
          <w:rFonts w:ascii="Arial" w:hAnsi="Arial"/>
          <w:shd w:val="clear" w:color="auto" w:fill="fcfcfc"/>
          <w:rtl w:val="0"/>
          <w:lang w:val="en-US"/>
        </w:rPr>
        <w:t>There was no proprietary interest or funding provided for this project.</w:t>
      </w:r>
    </w:p>
    <w:p>
      <w:pPr>
        <w:pStyle w:val="Default"/>
        <w:bidi w:val="0"/>
        <w:spacing w:before="0" w:after="266" w:line="240" w:lineRule="auto"/>
        <w:ind w:left="0" w:right="0" w:firstLine="0"/>
        <w:jc w:val="left"/>
        <w:rPr>
          <w:rFonts w:ascii="Arial" w:cs="Arial" w:hAnsi="Arial" w:eastAsia="Arial"/>
          <w:b w:val="1"/>
          <w:bCs w:val="1"/>
          <w:shd w:val="clear" w:color="auto" w:fill="fcfcfc"/>
          <w:rtl w:val="0"/>
        </w:rPr>
      </w:pPr>
      <w:r>
        <w:rPr>
          <w:rFonts w:ascii="Arial" w:hAnsi="Arial"/>
          <w:b w:val="1"/>
          <w:bCs w:val="1"/>
          <w:shd w:val="clear" w:color="auto" w:fill="fcfcfc"/>
          <w:rtl w:val="0"/>
          <w:lang w:val="en-US"/>
        </w:rPr>
        <w:t xml:space="preserve">References: </w:t>
      </w:r>
    </w:p>
    <w:p>
      <w:pPr>
        <w:pStyle w:val="Default"/>
        <w:numPr>
          <w:ilvl w:val="0"/>
          <w:numId w:val="2"/>
        </w:numPr>
        <w:bidi w:val="0"/>
        <w:spacing w:before="0" w:after="266" w:line="240" w:lineRule="auto"/>
        <w:ind w:right="0"/>
        <w:jc w:val="left"/>
        <w:rPr>
          <w:rFonts w:ascii="Arial" w:hAnsi="Arial"/>
          <w:shd w:val="clear" w:color="auto" w:fill="fcfcfc"/>
          <w:rtl w:val="0"/>
          <w:lang w:val="en-US"/>
        </w:rPr>
      </w:pPr>
      <w:r>
        <w:rPr>
          <w:rFonts w:ascii="Arial" w:hAnsi="Arial"/>
          <w:shd w:val="clear" w:color="auto" w:fill="fcfcfc"/>
          <w:rtl w:val="0"/>
          <w:lang w:val="en-US"/>
        </w:rPr>
        <w:t>Worth A,</w:t>
      </w:r>
      <w:r>
        <w:rPr>
          <w:rFonts w:ascii="Arial" w:hAnsi="Arial" w:hint="default"/>
          <w:shd w:val="clear" w:color="auto" w:fill="fcfcfc"/>
          <w:rtl w:val="0"/>
        </w:rPr>
        <w:t> </w:t>
      </w:r>
      <w:r>
        <w:rPr>
          <w:rFonts w:ascii="Arial" w:hAnsi="Arial"/>
          <w:shd w:val="clear" w:color="auto" w:fill="fcfcfc"/>
          <w:rtl w:val="0"/>
        </w:rPr>
        <w:t>Meij</w:t>
      </w:r>
      <w:r>
        <w:rPr>
          <w:rFonts w:ascii="Arial" w:hAnsi="Arial" w:hint="default"/>
          <w:shd w:val="clear" w:color="auto" w:fill="fcfcfc"/>
          <w:rtl w:val="0"/>
        </w:rPr>
        <w:t> </w:t>
      </w:r>
      <w:r>
        <w:rPr>
          <w:rFonts w:ascii="Arial" w:hAnsi="Arial"/>
          <w:shd w:val="clear" w:color="auto" w:fill="fcfcfc"/>
          <w:rtl w:val="0"/>
          <w:lang w:val="en-US"/>
        </w:rPr>
        <w:t>B, Jeffery N. Canine Degenerative Lumbosacral Stenosis: Prevalence, Impact</w:t>
      </w:r>
      <w:r>
        <w:rPr>
          <w:rFonts w:ascii="Arial" w:hAnsi="Arial" w:hint="default"/>
          <w:shd w:val="clear" w:color="auto" w:fill="fcfcfc"/>
          <w:rtl w:val="0"/>
        </w:rPr>
        <w:t> </w:t>
      </w:r>
      <w:r>
        <w:rPr>
          <w:rFonts w:ascii="Arial" w:hAnsi="Arial"/>
          <w:shd w:val="clear" w:color="auto" w:fill="fcfcfc"/>
          <w:rtl w:val="0"/>
        </w:rPr>
        <w:t>and Management Strategies.</w:t>
      </w:r>
      <w:r>
        <w:rPr>
          <w:rFonts w:ascii="Arial" w:hAnsi="Arial" w:hint="default"/>
          <w:shd w:val="clear" w:color="auto" w:fill="fcfcfc"/>
          <w:rtl w:val="0"/>
          <w:lang w:val="fr-FR"/>
        </w:rPr>
        <w:t> </w:t>
      </w:r>
      <w:r>
        <w:rPr>
          <w:rFonts w:ascii="Arial" w:hAnsi="Arial"/>
          <w:shd w:val="clear" w:color="auto" w:fill="fcfcfc"/>
          <w:rtl w:val="0"/>
        </w:rPr>
        <w:t>Vet</w:t>
      </w:r>
      <w:r>
        <w:rPr>
          <w:rFonts w:ascii="Arial" w:hAnsi="Arial" w:hint="default"/>
          <w:shd w:val="clear" w:color="auto" w:fill="fcfcfc"/>
          <w:rtl w:val="0"/>
        </w:rPr>
        <w:t> </w:t>
      </w:r>
      <w:r>
        <w:rPr>
          <w:rFonts w:ascii="Arial" w:hAnsi="Arial"/>
          <w:shd w:val="clear" w:color="auto" w:fill="fcfcfc"/>
          <w:rtl w:val="0"/>
          <w:lang w:val="de-DE"/>
        </w:rPr>
        <w:t>Med (Auckl).</w:t>
      </w:r>
      <w:r>
        <w:rPr>
          <w:rFonts w:ascii="Arial" w:hAnsi="Arial" w:hint="default"/>
          <w:shd w:val="clear" w:color="auto" w:fill="fcfcfc"/>
          <w:rtl w:val="0"/>
        </w:rPr>
        <w:t> </w:t>
      </w:r>
      <w:r>
        <w:rPr>
          <w:rFonts w:ascii="Arial" w:hAnsi="Arial"/>
          <w:shd w:val="clear" w:color="auto" w:fill="fcfcfc"/>
          <w:rtl w:val="0"/>
          <w:lang w:val="pt-PT"/>
        </w:rPr>
        <w:t>2019;10:169-183. doi:10.2147/VMRR.S180448</w:t>
      </w:r>
    </w:p>
    <w:p>
      <w:pPr>
        <w:pStyle w:val="Default"/>
        <w:numPr>
          <w:ilvl w:val="0"/>
          <w:numId w:val="2"/>
        </w:numPr>
        <w:bidi w:val="0"/>
        <w:spacing w:before="0" w:after="266" w:line="240" w:lineRule="auto"/>
        <w:ind w:right="0"/>
        <w:jc w:val="left"/>
        <w:rPr>
          <w:rFonts w:ascii="Arial" w:hAnsi="Arial"/>
          <w:shd w:val="clear" w:color="auto" w:fill="fcfcfc"/>
          <w:rtl w:val="0"/>
          <w:lang w:val="de-DE"/>
        </w:rPr>
      </w:pPr>
      <w:r>
        <w:rPr>
          <w:rFonts w:ascii="Arial" w:hAnsi="Arial"/>
          <w:shd w:val="clear" w:color="auto" w:fill="fcfcfc"/>
          <w:rtl w:val="0"/>
          <w:lang w:val="de-DE"/>
        </w:rPr>
        <w:t xml:space="preserve">Bok TER, van Stee L, Willemsen K et al. Lumbosacral </w:t>
      </w:r>
      <w:r>
        <w:rPr>
          <w:rFonts w:ascii="Arial" w:hAnsi="Arial"/>
          <w:shd w:val="clear" w:color="auto" w:fill="fcfcfc"/>
          <w:rtl w:val="0"/>
          <w:lang w:val="en-US"/>
        </w:rPr>
        <w:t>f</w:t>
      </w:r>
      <w:r>
        <w:rPr>
          <w:rFonts w:ascii="Arial" w:hAnsi="Arial"/>
          <w:shd w:val="clear" w:color="auto" w:fill="fcfcfc"/>
          <w:rtl w:val="0"/>
          <w:lang w:val="fr-FR"/>
        </w:rPr>
        <w:t xml:space="preserve">usion </w:t>
      </w:r>
      <w:r>
        <w:rPr>
          <w:rFonts w:ascii="Arial" w:hAnsi="Arial"/>
          <w:shd w:val="clear" w:color="auto" w:fill="fcfcfc"/>
          <w:rtl w:val="0"/>
          <w:lang w:val="en-US"/>
        </w:rPr>
        <w:t>u</w:t>
      </w:r>
      <w:r>
        <w:rPr>
          <w:rFonts w:ascii="Arial" w:hAnsi="Arial"/>
          <w:shd w:val="clear" w:color="auto" w:fill="fcfcfc"/>
          <w:rtl w:val="0"/>
          <w:lang w:val="en-US"/>
        </w:rPr>
        <w:t xml:space="preserve">sing </w:t>
      </w:r>
      <w:r>
        <w:rPr>
          <w:rFonts w:ascii="Arial" w:hAnsi="Arial"/>
          <w:shd w:val="clear" w:color="auto" w:fill="fcfcfc"/>
          <w:rtl w:val="0"/>
          <w:lang w:val="en-US"/>
        </w:rPr>
        <w:t>i</w:t>
      </w:r>
      <w:r>
        <w:rPr>
          <w:rFonts w:ascii="Arial" w:hAnsi="Arial"/>
          <w:shd w:val="clear" w:color="auto" w:fill="fcfcfc"/>
          <w:rtl w:val="0"/>
          <w:lang w:val="en-US"/>
        </w:rPr>
        <w:t xml:space="preserve">nstrumented </w:t>
      </w:r>
      <w:r>
        <w:rPr>
          <w:rFonts w:ascii="Arial" w:hAnsi="Arial"/>
          <w:shd w:val="clear" w:color="auto" w:fill="fcfcfc"/>
          <w:rtl w:val="0"/>
          <w:lang w:val="en-US"/>
        </w:rPr>
        <w:t>c</w:t>
      </w:r>
      <w:r>
        <w:rPr>
          <w:rFonts w:ascii="Arial" w:hAnsi="Arial"/>
          <w:shd w:val="clear" w:color="auto" w:fill="fcfcfc"/>
          <w:rtl w:val="0"/>
          <w:lang w:val="da-DK"/>
        </w:rPr>
        <w:t xml:space="preserve">age </w:t>
      </w:r>
      <w:r>
        <w:rPr>
          <w:rFonts w:ascii="Arial" w:hAnsi="Arial"/>
          <w:shd w:val="clear" w:color="auto" w:fill="fcfcfc"/>
          <w:rtl w:val="0"/>
          <w:lang w:val="en-US"/>
        </w:rPr>
        <w:t>d</w:t>
      </w:r>
      <w:r>
        <w:rPr>
          <w:rFonts w:ascii="Arial" w:hAnsi="Arial"/>
          <w:shd w:val="clear" w:color="auto" w:fill="fcfcfc"/>
          <w:rtl w:val="0"/>
          <w:lang w:val="en-US"/>
        </w:rPr>
        <w:t>istraction</w:t>
      </w:r>
      <w:r>
        <w:rPr>
          <w:rFonts w:ascii="Arial" w:hAnsi="Arial" w:hint="default"/>
          <w:shd w:val="clear" w:color="auto" w:fill="fcfcfc"/>
          <w:rtl w:val="0"/>
        </w:rPr>
        <w:t>–</w:t>
      </w:r>
      <w:r>
        <w:rPr>
          <w:rFonts w:ascii="Arial" w:hAnsi="Arial"/>
          <w:shd w:val="clear" w:color="auto" w:fill="fcfcfc"/>
          <w:rtl w:val="0"/>
          <w:lang w:val="en-US"/>
        </w:rPr>
        <w:t>f</w:t>
      </w:r>
      <w:r>
        <w:rPr>
          <w:rFonts w:ascii="Arial" w:hAnsi="Arial"/>
          <w:shd w:val="clear" w:color="auto" w:fill="fcfcfc"/>
          <w:rtl w:val="0"/>
          <w:lang w:val="en-US"/>
        </w:rPr>
        <w:t xml:space="preserve">ixation in a </w:t>
      </w:r>
      <w:r>
        <w:rPr>
          <w:rFonts w:ascii="Arial" w:hAnsi="Arial"/>
          <w:shd w:val="clear" w:color="auto" w:fill="fcfcfc"/>
          <w:rtl w:val="0"/>
          <w:lang w:val="en-US"/>
        </w:rPr>
        <w:t>d</w:t>
      </w:r>
      <w:r>
        <w:rPr>
          <w:rFonts w:ascii="Arial" w:hAnsi="Arial"/>
          <w:shd w:val="clear" w:color="auto" w:fill="fcfcfc"/>
          <w:rtl w:val="0"/>
          <w:lang w:val="en-US"/>
        </w:rPr>
        <w:t xml:space="preserve">og with </w:t>
      </w:r>
      <w:r>
        <w:rPr>
          <w:rFonts w:ascii="Arial" w:hAnsi="Arial"/>
          <w:shd w:val="clear" w:color="auto" w:fill="fcfcfc"/>
          <w:rtl w:val="0"/>
          <w:lang w:val="en-US"/>
        </w:rPr>
        <w:t>d</w:t>
      </w:r>
      <w:r>
        <w:rPr>
          <w:rFonts w:ascii="Arial" w:hAnsi="Arial"/>
          <w:shd w:val="clear" w:color="auto" w:fill="fcfcfc"/>
          <w:rtl w:val="0"/>
          <w:lang w:val="de-DE"/>
        </w:rPr>
        <w:t xml:space="preserve">egenerative </w:t>
      </w:r>
      <w:r>
        <w:rPr>
          <w:rFonts w:ascii="Arial" w:hAnsi="Arial"/>
          <w:shd w:val="clear" w:color="auto" w:fill="fcfcfc"/>
          <w:rtl w:val="0"/>
          <w:lang w:val="en-US"/>
        </w:rPr>
        <w:t>l</w:t>
      </w:r>
      <w:r>
        <w:rPr>
          <w:rFonts w:ascii="Arial" w:hAnsi="Arial"/>
          <w:shd w:val="clear" w:color="auto" w:fill="fcfcfc"/>
          <w:rtl w:val="0"/>
          <w:lang w:val="pt-PT"/>
        </w:rPr>
        <w:t xml:space="preserve">umbosacral </w:t>
      </w:r>
      <w:r>
        <w:rPr>
          <w:rFonts w:ascii="Arial" w:hAnsi="Arial"/>
          <w:shd w:val="clear" w:color="auto" w:fill="fcfcfc"/>
          <w:rtl w:val="0"/>
          <w:lang w:val="en-US"/>
        </w:rPr>
        <w:t>s</w:t>
      </w:r>
      <w:r>
        <w:rPr>
          <w:rFonts w:ascii="Arial" w:hAnsi="Arial"/>
          <w:shd w:val="clear" w:color="auto" w:fill="fcfcfc"/>
          <w:rtl w:val="0"/>
        </w:rPr>
        <w:t xml:space="preserve">tenosis. VCOT </w:t>
      </w:r>
      <w:r>
        <w:rPr>
          <w:rFonts w:ascii="Arial" w:hAnsi="Arial"/>
          <w:shd w:val="clear" w:color="auto" w:fill="fcfcfc"/>
          <w:rtl w:val="0"/>
          <w:lang w:val="en-US"/>
        </w:rPr>
        <w:t>2020;</w:t>
      </w:r>
      <w:r>
        <w:rPr>
          <w:rFonts w:ascii="Arial" w:hAnsi="Arial"/>
          <w:shd w:val="clear" w:color="auto" w:fill="fcfcfc"/>
          <w:rtl w:val="0"/>
        </w:rPr>
        <w:t>3(2):77-83.</w:t>
      </w:r>
    </w:p>
    <w:p>
      <w:pPr>
        <w:pStyle w:val="Default"/>
        <w:numPr>
          <w:ilvl w:val="0"/>
          <w:numId w:val="2"/>
        </w:numPr>
        <w:bidi w:val="0"/>
        <w:spacing w:before="0" w:after="266" w:line="240" w:lineRule="auto"/>
        <w:ind w:right="0"/>
        <w:jc w:val="left"/>
        <w:rPr>
          <w:rFonts w:ascii="Arial" w:hAnsi="Arial"/>
          <w:shd w:val="clear" w:color="auto" w:fill="fcfcfc"/>
          <w:rtl w:val="0"/>
          <w:lang w:val="de-DE"/>
        </w:rPr>
      </w:pPr>
      <w:r>
        <w:rPr>
          <w:rFonts w:ascii="Arial" w:hAnsi="Arial"/>
          <w:shd w:val="clear" w:color="auto" w:fill="fcfcfc"/>
          <w:rtl w:val="0"/>
          <w:lang w:val="de-DE"/>
        </w:rPr>
        <w:t>Tellegen</w:t>
      </w:r>
      <w:r>
        <w:rPr>
          <w:rFonts w:ascii="Arial" w:hAnsi="Arial" w:hint="default"/>
          <w:shd w:val="clear" w:color="auto" w:fill="fcfcfc"/>
          <w:rtl w:val="0"/>
        </w:rPr>
        <w:t> </w:t>
      </w:r>
      <w:r>
        <w:rPr>
          <w:rFonts w:ascii="Arial" w:hAnsi="Arial"/>
          <w:shd w:val="clear" w:color="auto" w:fill="fcfcfc"/>
          <w:rtl w:val="0"/>
          <w:lang w:val="de-DE"/>
        </w:rPr>
        <w:t>AR, Willems N,</w:t>
      </w:r>
      <w:r>
        <w:rPr>
          <w:rFonts w:ascii="Arial" w:hAnsi="Arial" w:hint="default"/>
          <w:shd w:val="clear" w:color="auto" w:fill="fcfcfc"/>
          <w:rtl w:val="0"/>
        </w:rPr>
        <w:t> </w:t>
      </w:r>
      <w:r>
        <w:rPr>
          <w:rFonts w:ascii="Arial" w:hAnsi="Arial"/>
          <w:shd w:val="clear" w:color="auto" w:fill="fcfcfc"/>
          <w:rtl w:val="0"/>
          <w:lang w:val="es-ES_tradnl"/>
        </w:rPr>
        <w:t>Tryfonidou</w:t>
      </w:r>
      <w:r>
        <w:rPr>
          <w:rFonts w:ascii="Arial" w:hAnsi="Arial" w:hint="default"/>
          <w:shd w:val="clear" w:color="auto" w:fill="fcfcfc"/>
          <w:rtl w:val="0"/>
        </w:rPr>
        <w:t> </w:t>
      </w:r>
      <w:r>
        <w:rPr>
          <w:rFonts w:ascii="Arial" w:hAnsi="Arial"/>
          <w:shd w:val="clear" w:color="auto" w:fill="fcfcfc"/>
          <w:rtl w:val="0"/>
          <w:lang w:val="de-DE"/>
        </w:rPr>
        <w:t>MA,</w:t>
      </w:r>
      <w:r>
        <w:rPr>
          <w:rFonts w:ascii="Arial" w:hAnsi="Arial" w:hint="default"/>
          <w:shd w:val="clear" w:color="auto" w:fill="fcfcfc"/>
          <w:rtl w:val="0"/>
        </w:rPr>
        <w:t> </w:t>
      </w:r>
      <w:r>
        <w:rPr>
          <w:rFonts w:ascii="Arial" w:hAnsi="Arial"/>
          <w:shd w:val="clear" w:color="auto" w:fill="fcfcfc"/>
          <w:rtl w:val="0"/>
        </w:rPr>
        <w:t>Meij</w:t>
      </w:r>
      <w:r>
        <w:rPr>
          <w:rFonts w:ascii="Arial" w:hAnsi="Arial" w:hint="default"/>
          <w:shd w:val="clear" w:color="auto" w:fill="fcfcfc"/>
          <w:rtl w:val="0"/>
        </w:rPr>
        <w:t> </w:t>
      </w:r>
      <w:r>
        <w:rPr>
          <w:rFonts w:ascii="Arial" w:hAnsi="Arial"/>
          <w:shd w:val="clear" w:color="auto" w:fill="fcfcfc"/>
          <w:rtl w:val="0"/>
          <w:lang w:val="en-US"/>
        </w:rPr>
        <w:t>BP. Pedicle screw-rod fixation:</w:t>
      </w:r>
      <w:r>
        <w:rPr>
          <w:rFonts w:ascii="Arial" w:hAnsi="Arial" w:hint="default"/>
          <w:shd w:val="clear" w:color="auto" w:fill="fcfcfc"/>
          <w:rtl w:val="0"/>
        </w:rPr>
        <w:t> </w:t>
      </w:r>
      <w:r>
        <w:rPr>
          <w:rFonts w:ascii="Arial" w:hAnsi="Arial"/>
          <w:shd w:val="clear" w:color="auto" w:fill="fcfcfc"/>
          <w:rtl w:val="0"/>
          <w:lang w:val="en-US"/>
        </w:rPr>
        <w:t>a feasible</w:t>
      </w:r>
      <w:r>
        <w:rPr>
          <w:rFonts w:ascii="Arial" w:hAnsi="Arial" w:hint="default"/>
          <w:shd w:val="clear" w:color="auto" w:fill="fcfcfc"/>
          <w:rtl w:val="0"/>
        </w:rPr>
        <w:t> </w:t>
      </w:r>
      <w:r>
        <w:rPr>
          <w:rFonts w:ascii="Arial" w:hAnsi="Arial"/>
          <w:shd w:val="clear" w:color="auto" w:fill="fcfcfc"/>
          <w:rtl w:val="0"/>
          <w:lang w:val="en-US"/>
        </w:rPr>
        <w:t>treatment for dogs with severe degenerative lumbosacral stenosis.</w:t>
      </w:r>
      <w:r>
        <w:rPr>
          <w:rFonts w:ascii="Arial" w:hAnsi="Arial" w:hint="default"/>
          <w:shd w:val="clear" w:color="auto" w:fill="fcfcfc"/>
          <w:rtl w:val="0"/>
          <w:lang w:val="fr-FR"/>
        </w:rPr>
        <w:t> </w:t>
      </w:r>
      <w:r>
        <w:rPr>
          <w:rFonts w:ascii="Arial" w:hAnsi="Arial"/>
          <w:shd w:val="clear" w:color="auto" w:fill="fcfcfc"/>
          <w:rtl w:val="0"/>
        </w:rPr>
        <w:t>BMC</w:t>
      </w:r>
      <w:r>
        <w:rPr>
          <w:rFonts w:ascii="Arial" w:hAnsi="Arial" w:hint="default"/>
          <w:shd w:val="clear" w:color="auto" w:fill="fcfcfc"/>
          <w:rtl w:val="0"/>
        </w:rPr>
        <w:t> </w:t>
      </w:r>
      <w:r>
        <w:rPr>
          <w:rFonts w:ascii="Arial" w:hAnsi="Arial"/>
          <w:shd w:val="clear" w:color="auto" w:fill="fcfcfc"/>
          <w:rtl w:val="0"/>
        </w:rPr>
        <w:t>Vet</w:t>
      </w:r>
      <w:r>
        <w:rPr>
          <w:rFonts w:ascii="Arial" w:hAnsi="Arial" w:hint="default"/>
          <w:shd w:val="clear" w:color="auto" w:fill="fcfcfc"/>
          <w:rtl w:val="0"/>
        </w:rPr>
        <w:t> </w:t>
      </w:r>
      <w:r>
        <w:rPr>
          <w:rFonts w:ascii="Arial" w:hAnsi="Arial"/>
          <w:shd w:val="clear" w:color="auto" w:fill="fcfcfc"/>
          <w:rtl w:val="0"/>
          <w:lang w:val="pt-PT"/>
        </w:rPr>
        <w:t>Res.</w:t>
      </w:r>
      <w:r>
        <w:rPr>
          <w:rFonts w:ascii="Arial" w:hAnsi="Arial" w:hint="default"/>
          <w:shd w:val="clear" w:color="auto" w:fill="fcfcfc"/>
          <w:rtl w:val="0"/>
        </w:rPr>
        <w:t> </w:t>
      </w:r>
      <w:r>
        <w:rPr>
          <w:rFonts w:ascii="Arial" w:hAnsi="Arial"/>
          <w:shd w:val="clear" w:color="auto" w:fill="fcfcfc"/>
          <w:rtl w:val="0"/>
          <w:lang w:val="pt-PT"/>
        </w:rPr>
        <w:t>2015;11:299. doi:10.1186/s12917-015-0614-3</w:t>
      </w:r>
    </w:p>
    <w:p>
      <w:pPr>
        <w:pStyle w:val="Default"/>
        <w:numPr>
          <w:ilvl w:val="0"/>
          <w:numId w:val="2"/>
        </w:numPr>
        <w:bidi w:val="0"/>
        <w:spacing w:before="0" w:after="266" w:line="240" w:lineRule="auto"/>
        <w:ind w:right="0"/>
        <w:jc w:val="left"/>
        <w:rPr>
          <w:rFonts w:ascii="Arial" w:hAnsi="Arial"/>
          <w:shd w:val="clear" w:color="auto" w:fill="fcfcfc"/>
          <w:rtl w:val="0"/>
          <w:lang w:val="nl-NL"/>
        </w:rPr>
      </w:pPr>
      <w:r>
        <w:rPr>
          <w:rFonts w:ascii="Arial" w:hAnsi="Arial"/>
          <w:shd w:val="clear" w:color="auto" w:fill="fcfcfc"/>
          <w:rtl w:val="0"/>
          <w:lang w:val="nl-NL"/>
        </w:rPr>
        <w:t>Teunissen M, van der Veen AJ, Smit TH,</w:t>
      </w:r>
      <w:r>
        <w:rPr>
          <w:rFonts w:ascii="Arial" w:hAnsi="Arial" w:hint="default"/>
          <w:shd w:val="clear" w:color="auto" w:fill="fcfcfc"/>
          <w:rtl w:val="0"/>
        </w:rPr>
        <w:t> </w:t>
      </w:r>
      <w:r>
        <w:rPr>
          <w:rFonts w:ascii="Arial" w:hAnsi="Arial"/>
          <w:shd w:val="clear" w:color="auto" w:fill="fcfcfc"/>
          <w:rtl w:val="0"/>
          <w:lang w:val="es-ES_tradnl"/>
        </w:rPr>
        <w:t>Tryfonidou</w:t>
      </w:r>
      <w:r>
        <w:rPr>
          <w:rFonts w:ascii="Arial" w:hAnsi="Arial" w:hint="default"/>
          <w:shd w:val="clear" w:color="auto" w:fill="fcfcfc"/>
          <w:rtl w:val="0"/>
        </w:rPr>
        <w:t> </w:t>
      </w:r>
      <w:r>
        <w:rPr>
          <w:rFonts w:ascii="Arial" w:hAnsi="Arial"/>
          <w:shd w:val="clear" w:color="auto" w:fill="fcfcfc"/>
          <w:rtl w:val="0"/>
          <w:lang w:val="de-DE"/>
        </w:rPr>
        <w:t>MA,</w:t>
      </w:r>
      <w:r>
        <w:rPr>
          <w:rFonts w:ascii="Arial" w:hAnsi="Arial" w:hint="default"/>
          <w:shd w:val="clear" w:color="auto" w:fill="fcfcfc"/>
          <w:rtl w:val="0"/>
        </w:rPr>
        <w:t> </w:t>
      </w:r>
      <w:r>
        <w:rPr>
          <w:rFonts w:ascii="Arial" w:hAnsi="Arial"/>
          <w:shd w:val="clear" w:color="auto" w:fill="fcfcfc"/>
          <w:rtl w:val="0"/>
        </w:rPr>
        <w:t>Meij</w:t>
      </w:r>
      <w:r>
        <w:rPr>
          <w:rFonts w:ascii="Arial" w:hAnsi="Arial" w:hint="default"/>
          <w:shd w:val="clear" w:color="auto" w:fill="fcfcfc"/>
          <w:rtl w:val="0"/>
        </w:rPr>
        <w:t> </w:t>
      </w:r>
      <w:r>
        <w:rPr>
          <w:rFonts w:ascii="Arial" w:hAnsi="Arial"/>
          <w:shd w:val="clear" w:color="auto" w:fill="fcfcfc"/>
          <w:rtl w:val="0"/>
          <w:lang w:val="en-US"/>
        </w:rPr>
        <w:t>BP. Effect of a titanium cage as a stand-alone device on biomechanical stability in the lumbosacral spine of canine cadavers.</w:t>
      </w:r>
      <w:r>
        <w:rPr>
          <w:rFonts w:ascii="Arial" w:hAnsi="Arial" w:hint="default"/>
          <w:shd w:val="clear" w:color="auto" w:fill="fcfcfc"/>
          <w:rtl w:val="0"/>
          <w:lang w:val="fr-FR"/>
        </w:rPr>
        <w:t> </w:t>
      </w:r>
      <w:r>
        <w:rPr>
          <w:rFonts w:ascii="Arial" w:hAnsi="Arial"/>
          <w:shd w:val="clear" w:color="auto" w:fill="fcfcfc"/>
          <w:rtl w:val="0"/>
        </w:rPr>
        <w:t>Vet</w:t>
      </w:r>
      <w:r>
        <w:rPr>
          <w:rFonts w:ascii="Arial" w:hAnsi="Arial" w:hint="default"/>
          <w:shd w:val="clear" w:color="auto" w:fill="fcfcfc"/>
          <w:rtl w:val="0"/>
        </w:rPr>
        <w:t> </w:t>
      </w:r>
      <w:r>
        <w:rPr>
          <w:rFonts w:ascii="Arial" w:hAnsi="Arial"/>
          <w:shd w:val="clear" w:color="auto" w:fill="fcfcfc"/>
          <w:rtl w:val="0"/>
        </w:rPr>
        <w:t>J.</w:t>
      </w:r>
      <w:r>
        <w:rPr>
          <w:rFonts w:ascii="Arial" w:hAnsi="Arial" w:hint="default"/>
          <w:shd w:val="clear" w:color="auto" w:fill="fcfcfc"/>
          <w:rtl w:val="0"/>
        </w:rPr>
        <w:t> </w:t>
      </w:r>
      <w:r>
        <w:rPr>
          <w:rFonts w:ascii="Arial" w:hAnsi="Arial"/>
          <w:shd w:val="clear" w:color="auto" w:fill="fcfcfc"/>
          <w:rtl w:val="0"/>
        </w:rPr>
        <w:t>2017;220:17-23.</w:t>
      </w:r>
      <w:r>
        <w:rPr>
          <w:rFonts w:ascii="Arial" w:hAnsi="Arial" w:hint="default"/>
          <w:shd w:val="clear" w:color="auto" w:fill="fcfcfc"/>
          <w:rtl w:val="0"/>
        </w:rPr>
        <w:t> </w:t>
      </w:r>
      <w:r>
        <w:rPr>
          <w:rFonts w:ascii="Arial" w:hAnsi="Arial"/>
          <w:shd w:val="clear" w:color="auto" w:fill="fcfcfc"/>
          <w:rtl w:val="0"/>
        </w:rPr>
        <w:t>doi:10.1016/j.tvjl.2016.12.007</w:t>
      </w:r>
    </w:p>
    <w:p>
      <w:pPr>
        <w:pStyle w:val="Default"/>
        <w:numPr>
          <w:ilvl w:val="0"/>
          <w:numId w:val="2"/>
        </w:numPr>
        <w:bidi w:val="0"/>
        <w:spacing w:before="0" w:after="266" w:line="240" w:lineRule="auto"/>
        <w:ind w:right="0"/>
        <w:jc w:val="left"/>
        <w:rPr>
          <w:rFonts w:ascii="Arial" w:hAnsi="Arial"/>
          <w:shd w:val="clear" w:color="auto" w:fill="fcfcfc"/>
          <w:rtl w:val="0"/>
          <w:lang w:val="en-US"/>
        </w:rPr>
      </w:pPr>
      <w:r>
        <w:rPr>
          <w:rFonts w:ascii="Arial" w:hAnsi="Arial"/>
          <w:shd w:val="clear" w:color="auto" w:fill="fcfcfc"/>
          <w:rtl w:val="0"/>
          <w:lang w:val="en-US"/>
        </w:rPr>
        <w:t xml:space="preserve">Cook JL, Evans R, Conzemius MG, et al. Proposed definitions and criteria for reporting time frame, outcome, and complications for clinical orthopedic studies in veterinary medicine. Vet Surg </w:t>
      </w:r>
      <w:r>
        <w:rPr>
          <w:rFonts w:ascii="Arial" w:hAnsi="Arial"/>
          <w:shd w:val="clear" w:color="auto" w:fill="fcfcfc"/>
          <w:rtl w:val="0"/>
          <w:lang w:val="en-US"/>
        </w:rPr>
        <w:t>2010;</w:t>
      </w:r>
      <w:r>
        <w:rPr>
          <w:rFonts w:ascii="Arial" w:hAnsi="Arial"/>
          <w:shd w:val="clear" w:color="auto" w:fill="fcfcfc"/>
          <w:rtl w:val="0"/>
        </w:rPr>
        <w:t>39(8):905-908. doi:10.1111/j.1532-950X.2010. 00763.x</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