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1A5B4" w14:textId="0AF4CBB4" w:rsidR="00423387" w:rsidRPr="00423387" w:rsidRDefault="00E048D4" w:rsidP="00423387">
      <w:pPr>
        <w:tabs>
          <w:tab w:val="left" w:pos="5115"/>
        </w:tabs>
        <w:spacing w:after="0" w:line="240" w:lineRule="auto"/>
        <w:rPr>
          <w:rFonts w:ascii="Arial" w:hAnsi="Arial" w:cs="Arial"/>
          <w:b/>
          <w:bCs/>
          <w:sz w:val="24"/>
          <w:szCs w:val="24"/>
        </w:rPr>
      </w:pPr>
      <w:r w:rsidRPr="00E048D4">
        <w:rPr>
          <w:rFonts w:ascii="Arial" w:hAnsi="Arial" w:cs="Arial"/>
          <w:b/>
          <w:bCs/>
          <w:color w:val="000000" w:themeColor="text1"/>
          <w:sz w:val="24"/>
          <w:szCs w:val="24"/>
        </w:rPr>
        <w:t>Bolt Configuration and Cancellous Compaction Affect the Mechanical Stability of an I-Loc Construct in a Canine Distal Femur Osteotomy Model</w:t>
      </w:r>
    </w:p>
    <w:p w14:paraId="61F51FA5" w14:textId="0AF1F312" w:rsidR="00094F69" w:rsidRPr="00F23648" w:rsidRDefault="00531CC2" w:rsidP="0046021E">
      <w:pPr>
        <w:pStyle w:val="whitespace-pre-wrap"/>
        <w:jc w:val="both"/>
        <w:rPr>
          <w:rFonts w:ascii="Arial" w:hAnsi="Arial" w:cs="Arial"/>
          <w:color w:val="000000" w:themeColor="text1"/>
        </w:rPr>
      </w:pPr>
      <w:r w:rsidRPr="00F23648">
        <w:rPr>
          <w:rFonts w:ascii="Arial" w:hAnsi="Arial" w:cs="Arial"/>
          <w:b/>
          <w:bCs/>
          <w:color w:val="000000" w:themeColor="text1"/>
        </w:rPr>
        <w:t>Objective:</w:t>
      </w:r>
      <w:r w:rsidR="00F31763" w:rsidRPr="00F23648">
        <w:rPr>
          <w:rFonts w:ascii="Arial" w:hAnsi="Arial" w:cs="Arial"/>
          <w:color w:val="000000" w:themeColor="text1"/>
        </w:rPr>
        <w:t xml:space="preserve"> </w:t>
      </w:r>
      <w:r w:rsidR="00094F69" w:rsidRPr="00F23648">
        <w:rPr>
          <w:rFonts w:ascii="Arial" w:hAnsi="Arial" w:cs="Arial"/>
          <w:color w:val="000000" w:themeColor="text1"/>
        </w:rPr>
        <w:t>The immediate stability of implant fixation is an important determinant of surgical outcomes in patients treated for distal femoral varus with an interlocking nail. Bone compaction techniques, which compress cancellous bone during preparation of the femoral condyle, have shown promising results in improving initial implant stability</w:t>
      </w:r>
      <w:r w:rsidR="00094F69" w:rsidRPr="00F23648">
        <w:rPr>
          <w:rFonts w:ascii="Arial" w:hAnsi="Arial" w:cs="Arial"/>
          <w:color w:val="000000" w:themeColor="text1"/>
          <w:vertAlign w:val="superscript"/>
        </w:rPr>
        <w:t>1,2</w:t>
      </w:r>
      <w:r w:rsidR="00094F69" w:rsidRPr="00F23648">
        <w:rPr>
          <w:rFonts w:ascii="Arial" w:hAnsi="Arial" w:cs="Arial"/>
          <w:color w:val="000000" w:themeColor="text1"/>
        </w:rPr>
        <w:t xml:space="preserve"> across various cancellous bone densities</w:t>
      </w:r>
      <w:r w:rsidR="00094F69" w:rsidRPr="00F23648">
        <w:rPr>
          <w:rFonts w:ascii="Arial" w:hAnsi="Arial" w:cs="Arial"/>
          <w:color w:val="000000" w:themeColor="text1"/>
          <w:vertAlign w:val="superscript"/>
        </w:rPr>
        <w:t>3</w:t>
      </w:r>
      <w:r w:rsidR="00094F69" w:rsidRPr="00F23648">
        <w:rPr>
          <w:rFonts w:ascii="Arial" w:hAnsi="Arial" w:cs="Arial"/>
          <w:color w:val="000000" w:themeColor="text1"/>
        </w:rPr>
        <w:t>. Compaction creates a densified bone ring around the nail, which in turn enhances the bone-implant interface strength, reduces micromotion, and optimizes load transfer through the construct</w:t>
      </w:r>
      <w:r w:rsidR="00094F69" w:rsidRPr="00F23648">
        <w:rPr>
          <w:rFonts w:ascii="Arial" w:hAnsi="Arial" w:cs="Arial"/>
          <w:color w:val="000000" w:themeColor="text1"/>
          <w:vertAlign w:val="superscript"/>
        </w:rPr>
        <w:t>4,5</w:t>
      </w:r>
      <w:r w:rsidR="00094F69" w:rsidRPr="00F23648">
        <w:rPr>
          <w:rFonts w:ascii="Arial" w:hAnsi="Arial" w:cs="Arial"/>
          <w:color w:val="000000" w:themeColor="text1"/>
        </w:rPr>
        <w:t xml:space="preserve">. Concurrently, the placement of distal interlocking bolts represents another crucial factor in construct design that may offer different mechanical advantages regarding construct rigidity and load distribution. The number and position of these bolts may potentially influence the biomechanical behavior of the entire construct, particularly its resistance to bending moments. Despite the importance of both bone preparation technique and bolt configuration, their relative contribution to overall construct stability remains unknown. </w:t>
      </w:r>
    </w:p>
    <w:p w14:paraId="2566B95F" w14:textId="13CBEE9C" w:rsidR="00F31763" w:rsidRPr="00F23648" w:rsidRDefault="00094F69" w:rsidP="0046021E">
      <w:pPr>
        <w:pStyle w:val="whitespace-pre-wrap"/>
        <w:jc w:val="both"/>
        <w:rPr>
          <w:rFonts w:ascii="Arial" w:hAnsi="Arial" w:cs="Arial"/>
          <w:color w:val="000000" w:themeColor="text1"/>
        </w:rPr>
      </w:pPr>
      <w:r w:rsidRPr="00F23648">
        <w:rPr>
          <w:rFonts w:ascii="Arial" w:hAnsi="Arial" w:cs="Arial"/>
          <w:color w:val="000000" w:themeColor="text1"/>
        </w:rPr>
        <w:t xml:space="preserve">The objective of this study was to investigate the mechanical effects of distal bolt placement in compacted and non-compacted synthetic bone models of varying densities. We hypothesized that cancellous bone compaction would enhance stability at the bone–nail interface across all bone densities, whereas variations in bolt configuration would not have a significant effect on the overall mechanical stability of the construct. </w:t>
      </w:r>
    </w:p>
    <w:p w14:paraId="70E23B63" w14:textId="042E1884" w:rsidR="00F31763" w:rsidRPr="00F23648" w:rsidRDefault="00531CC2" w:rsidP="0046021E">
      <w:pPr>
        <w:pStyle w:val="whitespace-pre-wrap"/>
        <w:jc w:val="both"/>
        <w:rPr>
          <w:rFonts w:ascii="Arial" w:hAnsi="Arial" w:cs="Arial"/>
          <w:color w:val="000000" w:themeColor="text1"/>
        </w:rPr>
      </w:pPr>
      <w:r w:rsidRPr="00F23648">
        <w:rPr>
          <w:rFonts w:ascii="Arial" w:hAnsi="Arial" w:cs="Arial"/>
          <w:b/>
          <w:bCs/>
          <w:color w:val="000000" w:themeColor="text1"/>
        </w:rPr>
        <w:t>Study Design:</w:t>
      </w:r>
      <w:r w:rsidR="00094F69" w:rsidRPr="00F23648">
        <w:rPr>
          <w:rFonts w:ascii="Arial" w:hAnsi="Arial" w:cs="Arial"/>
          <w:color w:val="000000" w:themeColor="text1"/>
        </w:rPr>
        <w:t xml:space="preserve"> Custom-made aluminum cylinders (4 cm long by 2 cm OD) filled with 10, 12.5, 15 and 20 PCF (pound per cubic foot) polyurethane foam were used to simulate the distal femoral condyle of a mid-sized dog</w:t>
      </w:r>
      <w:r w:rsidR="009B16D9">
        <w:rPr>
          <w:rFonts w:ascii="Arial" w:hAnsi="Arial" w:cs="Arial"/>
          <w:color w:val="000000" w:themeColor="text1"/>
        </w:rPr>
        <w:t xml:space="preserve"> </w:t>
      </w:r>
      <w:r w:rsidR="009B16D9" w:rsidRPr="00E968FF">
        <w:rPr>
          <w:rFonts w:ascii="Arial" w:hAnsi="Arial" w:cs="Arial"/>
          <w:color w:val="000000" w:themeColor="text1"/>
        </w:rPr>
        <w:t>(Figure 1)</w:t>
      </w:r>
      <w:r w:rsidR="00094F69" w:rsidRPr="00F23648">
        <w:rPr>
          <w:rFonts w:ascii="Arial" w:hAnsi="Arial" w:cs="Arial"/>
          <w:color w:val="000000" w:themeColor="text1"/>
        </w:rPr>
        <w:t>. Consistent with current surgical technique, a 7-160 I-Loc nail was centrally inserted into a reamed 7 mm line-to-line 40 mm deep pilot hole (control group). In the experimental group, the nail was impacted into a sequentially compacted 40 mm deep central tunnel that was prepared using custom mandrels of increasing diameters from 4 mm to 7 mm. All nails extended 3.5 cm into the reamed or compacted foam tunnel. The bone model/I-Loc nail constructs (n=4 per group) locked using bolts inserted in positions 3, 4, or 3+4</w:t>
      </w:r>
      <w:r w:rsidR="000B3AED">
        <w:rPr>
          <w:rFonts w:ascii="Arial" w:hAnsi="Arial" w:cs="Arial"/>
          <w:color w:val="000000" w:themeColor="text1"/>
        </w:rPr>
        <w:t xml:space="preserve"> (Figure 2)</w:t>
      </w:r>
      <w:r w:rsidR="00094F69" w:rsidRPr="00F23648">
        <w:rPr>
          <w:rFonts w:ascii="Arial" w:hAnsi="Arial" w:cs="Arial"/>
          <w:color w:val="000000" w:themeColor="text1"/>
        </w:rPr>
        <w:t>.  Constructs were mounted horizontally in a custom bending fixture secured to an Instron servo-hydraulic press base plate. The nail proximal end was coupled to the Instron actuator via a U-joint and secured with two locking bolts. Four constructs per group were tested in medio-lateral bending under displacement control using a single ramp load at a rate of 5 mm/sec. The Instron actuator displacement was 5 mm, equivalent to a 1.8° deflection in the nail axis</w:t>
      </w:r>
      <w:r w:rsidR="009B16D9">
        <w:rPr>
          <w:rFonts w:ascii="Arial" w:hAnsi="Arial" w:cs="Arial"/>
          <w:color w:val="000000" w:themeColor="text1"/>
        </w:rPr>
        <w:t xml:space="preserve"> </w:t>
      </w:r>
      <w:r w:rsidR="009B16D9" w:rsidRPr="00E968FF">
        <w:rPr>
          <w:rFonts w:ascii="Arial" w:hAnsi="Arial" w:cs="Arial"/>
          <w:color w:val="000000" w:themeColor="text1"/>
        </w:rPr>
        <w:t xml:space="preserve">(Figure </w:t>
      </w:r>
      <w:r w:rsidR="000B3AED">
        <w:rPr>
          <w:rFonts w:ascii="Arial" w:hAnsi="Arial" w:cs="Arial"/>
          <w:color w:val="000000" w:themeColor="text1"/>
        </w:rPr>
        <w:t>3</w:t>
      </w:r>
      <w:r w:rsidR="009B16D9" w:rsidRPr="00E968FF">
        <w:rPr>
          <w:rFonts w:ascii="Arial" w:hAnsi="Arial" w:cs="Arial"/>
          <w:color w:val="000000" w:themeColor="text1"/>
        </w:rPr>
        <w:t>)</w:t>
      </w:r>
      <w:r w:rsidR="00094F69" w:rsidRPr="00F23648">
        <w:rPr>
          <w:rFonts w:ascii="Arial" w:hAnsi="Arial" w:cs="Arial"/>
          <w:color w:val="000000" w:themeColor="text1"/>
        </w:rPr>
        <w:t xml:space="preserve">. Load vs deformation data were collected from each sample. Outcome measures consisted of stiffness (computed from 2 to 4 mm of actuator displacement) and maximum load at 5 mm of actuator displacement. Data were reported as mean and standard deviation (SD) and compared using two-factor ANOVA (bone preparation and bolt distribution) followed by post-hoc Tukey tests when significant differences were identified (p&lt;0.05). </w:t>
      </w:r>
    </w:p>
    <w:p w14:paraId="320D48EA" w14:textId="55594FB3" w:rsidR="00F31763" w:rsidRPr="00F23648" w:rsidRDefault="00531CC2" w:rsidP="0046021E">
      <w:pPr>
        <w:pStyle w:val="whitespace-pre-wrap"/>
        <w:jc w:val="both"/>
        <w:rPr>
          <w:rFonts w:ascii="Arial" w:hAnsi="Arial" w:cs="Arial"/>
          <w:color w:val="000000" w:themeColor="text1"/>
        </w:rPr>
      </w:pPr>
      <w:r w:rsidRPr="00F23648">
        <w:rPr>
          <w:rFonts w:ascii="Arial" w:hAnsi="Arial" w:cs="Arial"/>
          <w:b/>
          <w:bCs/>
          <w:color w:val="000000" w:themeColor="text1"/>
        </w:rPr>
        <w:t>Results:</w:t>
      </w:r>
      <w:r w:rsidR="00F31763" w:rsidRPr="00F23648">
        <w:rPr>
          <w:rFonts w:ascii="Arial" w:hAnsi="Arial" w:cs="Arial"/>
          <w:color w:val="000000" w:themeColor="text1"/>
        </w:rPr>
        <w:t xml:space="preserve"> </w:t>
      </w:r>
      <w:r w:rsidR="00094F69" w:rsidRPr="00F23648">
        <w:rPr>
          <w:rFonts w:ascii="Arial" w:hAnsi="Arial" w:cs="Arial"/>
          <w:color w:val="000000" w:themeColor="text1"/>
        </w:rPr>
        <w:t>In</w:t>
      </w:r>
      <w:r w:rsidR="004941F5">
        <w:rPr>
          <w:rFonts w:ascii="Arial" w:hAnsi="Arial" w:cs="Arial"/>
          <w:color w:val="000000" w:themeColor="text1"/>
        </w:rPr>
        <w:t xml:space="preserve"> low</w:t>
      </w:r>
      <w:r w:rsidR="00855D7D">
        <w:rPr>
          <w:rFonts w:ascii="Arial" w:hAnsi="Arial" w:cs="Arial"/>
          <w:color w:val="000000" w:themeColor="text1"/>
        </w:rPr>
        <w:t>-</w:t>
      </w:r>
      <w:r w:rsidR="004941F5">
        <w:rPr>
          <w:rFonts w:ascii="Arial" w:hAnsi="Arial" w:cs="Arial"/>
          <w:color w:val="000000" w:themeColor="text1"/>
        </w:rPr>
        <w:t>density foams: 10 and</w:t>
      </w:r>
      <w:r w:rsidR="00094F69" w:rsidRPr="00F23648">
        <w:rPr>
          <w:rFonts w:ascii="Arial" w:hAnsi="Arial" w:cs="Arial"/>
          <w:color w:val="000000" w:themeColor="text1"/>
        </w:rPr>
        <w:t xml:space="preserve"> 12.5 PCF, both preparation methods and bolt positions showed significant differences for maximum load and stiffness (p&lt;0.05), with </w:t>
      </w:r>
      <w:r w:rsidR="00094F69" w:rsidRPr="00F23648">
        <w:rPr>
          <w:rFonts w:ascii="Arial" w:hAnsi="Arial" w:cs="Arial"/>
          <w:color w:val="000000" w:themeColor="text1"/>
        </w:rPr>
        <w:lastRenderedPageBreak/>
        <w:t xml:space="preserve">bolt 4 showing a higher load and stiffness than bolt 3, and double-bolt configurations maintaining superiority over bolt 3 and 4 alone. For the 15 PCF group, bolt positions 3 versus 4 showed no significant differences (p&gt;0.05) in either group (compacted vs noncompacted), while double-bolt configurations remained superior to single bolts for maximum load and stiffness. </w:t>
      </w:r>
      <w:r w:rsidR="004941F5" w:rsidRPr="004941F5">
        <w:rPr>
          <w:rFonts w:ascii="Arial" w:hAnsi="Arial" w:cs="Arial"/>
          <w:color w:val="000000" w:themeColor="text1"/>
        </w:rPr>
        <w:t>In 20 PCF foam</w:t>
      </w:r>
      <w:r w:rsidR="00855D7D">
        <w:rPr>
          <w:rFonts w:ascii="Arial" w:hAnsi="Arial" w:cs="Arial"/>
          <w:color w:val="000000" w:themeColor="text1"/>
        </w:rPr>
        <w:t>,</w:t>
      </w:r>
      <w:r w:rsidR="004941F5" w:rsidRPr="004941F5">
        <w:rPr>
          <w:rFonts w:ascii="Arial" w:hAnsi="Arial" w:cs="Arial"/>
          <w:color w:val="000000" w:themeColor="text1"/>
        </w:rPr>
        <w:t xml:space="preserve"> the effect of double bolting vs single bolting is no longer evident</w:t>
      </w:r>
      <w:r w:rsidR="004941F5">
        <w:rPr>
          <w:rFonts w:ascii="Arial" w:hAnsi="Arial" w:cs="Arial"/>
          <w:color w:val="000000" w:themeColor="text1"/>
        </w:rPr>
        <w:t xml:space="preserve"> (</w:t>
      </w:r>
      <w:r w:rsidR="004941F5" w:rsidRPr="00F23648">
        <w:rPr>
          <w:rFonts w:ascii="Arial" w:hAnsi="Arial" w:cs="Arial"/>
          <w:color w:val="000000" w:themeColor="text1"/>
        </w:rPr>
        <w:t>p&gt;0.05)</w:t>
      </w:r>
      <w:r w:rsidR="004941F5" w:rsidRPr="004941F5">
        <w:rPr>
          <w:rFonts w:ascii="Arial" w:hAnsi="Arial" w:cs="Arial"/>
          <w:color w:val="000000" w:themeColor="text1"/>
        </w:rPr>
        <w:t xml:space="preserve"> and primary advantage comes from </w:t>
      </w:r>
      <w:r w:rsidR="004941F5">
        <w:rPr>
          <w:rFonts w:ascii="Arial" w:hAnsi="Arial" w:cs="Arial"/>
          <w:color w:val="000000" w:themeColor="text1"/>
        </w:rPr>
        <w:t xml:space="preserve">the </w:t>
      </w:r>
      <w:r w:rsidR="004941F5" w:rsidRPr="004941F5">
        <w:rPr>
          <w:rFonts w:ascii="Arial" w:hAnsi="Arial" w:cs="Arial"/>
          <w:color w:val="000000" w:themeColor="text1"/>
        </w:rPr>
        <w:t>preparation technique, not the number or location of the bolts</w:t>
      </w:r>
    </w:p>
    <w:p w14:paraId="09B4A914" w14:textId="160380D7" w:rsidR="00094F69" w:rsidRPr="00F23648" w:rsidRDefault="00531CC2" w:rsidP="0046021E">
      <w:pPr>
        <w:pStyle w:val="whitespace-pre-wrap"/>
        <w:jc w:val="both"/>
        <w:rPr>
          <w:rFonts w:ascii="Arial" w:hAnsi="Arial" w:cs="Arial"/>
          <w:color w:val="000000" w:themeColor="text1"/>
        </w:rPr>
      </w:pPr>
      <w:r w:rsidRPr="00F23648">
        <w:rPr>
          <w:rFonts w:ascii="Arial" w:hAnsi="Arial" w:cs="Arial"/>
          <w:b/>
          <w:bCs/>
          <w:color w:val="000000" w:themeColor="text1"/>
        </w:rPr>
        <w:t>Conclusion:</w:t>
      </w:r>
      <w:r w:rsidR="00F31763" w:rsidRPr="00F23648">
        <w:rPr>
          <w:rFonts w:ascii="Arial" w:hAnsi="Arial" w:cs="Arial"/>
          <w:color w:val="000000" w:themeColor="text1"/>
        </w:rPr>
        <w:t xml:space="preserve"> </w:t>
      </w:r>
      <w:r w:rsidR="00094F69" w:rsidRPr="00F23648">
        <w:rPr>
          <w:rFonts w:ascii="Arial" w:hAnsi="Arial" w:cs="Arial"/>
          <w:color w:val="000000" w:themeColor="text1"/>
        </w:rPr>
        <w:t xml:space="preserve">Our findings demonstrate that both bone preparation technique and bolt configuration significantly influence the initial stability of I-Loc/bone constructs in a distal femoral bone surrogate. Cancellous bone compaction improved interface stability across all foam densities, confirming our first hypothesis. However, we rejected our second hypothesis as the bolt configuration proved to significantly influence construct stability at every foam density tested. Specifically, the double-bolt configuration (positions 3+4) provided higher mechanical stability compared to </w:t>
      </w:r>
      <w:proofErr w:type="gramStart"/>
      <w:r w:rsidR="00094F69" w:rsidRPr="00F23648">
        <w:rPr>
          <w:rFonts w:ascii="Arial" w:hAnsi="Arial" w:cs="Arial"/>
          <w:color w:val="000000" w:themeColor="text1"/>
        </w:rPr>
        <w:t>either</w:t>
      </w:r>
      <w:r w:rsidR="004941F5">
        <w:rPr>
          <w:rFonts w:ascii="Arial" w:hAnsi="Arial" w:cs="Arial"/>
          <w:color w:val="000000" w:themeColor="text1"/>
        </w:rPr>
        <w:t xml:space="preserve"> </w:t>
      </w:r>
      <w:r w:rsidR="00094F69" w:rsidRPr="00F23648">
        <w:rPr>
          <w:rFonts w:ascii="Arial" w:hAnsi="Arial" w:cs="Arial"/>
          <w:color w:val="000000" w:themeColor="text1"/>
        </w:rPr>
        <w:t>single</w:t>
      </w:r>
      <w:proofErr w:type="gramEnd"/>
      <w:r w:rsidR="00094F69" w:rsidRPr="00F23648">
        <w:rPr>
          <w:rFonts w:ascii="Arial" w:hAnsi="Arial" w:cs="Arial"/>
          <w:color w:val="000000" w:themeColor="text1"/>
        </w:rPr>
        <w:t>-bolt arrangement</w:t>
      </w:r>
      <w:r w:rsidR="004941F5">
        <w:rPr>
          <w:rFonts w:ascii="Arial" w:hAnsi="Arial" w:cs="Arial"/>
          <w:color w:val="000000" w:themeColor="text1"/>
        </w:rPr>
        <w:t>, with the exception of 20 PCF foam</w:t>
      </w:r>
      <w:r w:rsidR="00094F69" w:rsidRPr="00F23648">
        <w:rPr>
          <w:rFonts w:ascii="Arial" w:hAnsi="Arial" w:cs="Arial"/>
          <w:color w:val="000000" w:themeColor="text1"/>
        </w:rPr>
        <w:t>. This finding highlights the synergistic importance of primary fixation through bone compaction and secondary fixation via bolt placement in achieving optimal load distribution and construct rigidity.</w:t>
      </w:r>
    </w:p>
    <w:p w14:paraId="42B30DE7" w14:textId="572AFA7A" w:rsidR="00F31763" w:rsidRPr="00F23648" w:rsidRDefault="00094F69" w:rsidP="0046021E">
      <w:pPr>
        <w:pStyle w:val="whitespace-pre-wrap"/>
        <w:jc w:val="both"/>
        <w:rPr>
          <w:rFonts w:ascii="Arial" w:hAnsi="Arial" w:cs="Arial"/>
          <w:color w:val="000000" w:themeColor="text1"/>
        </w:rPr>
      </w:pPr>
      <w:r w:rsidRPr="00F23648">
        <w:rPr>
          <w:rFonts w:ascii="Arial" w:hAnsi="Arial" w:cs="Arial"/>
          <w:color w:val="000000" w:themeColor="text1"/>
        </w:rPr>
        <w:t>Limitations of this study include the use of synthetic rather than native bone, testing limited to medio-lateral bending and evaluation of a single nail diameter (7mm).</w:t>
      </w:r>
    </w:p>
    <w:p w14:paraId="461D764C" w14:textId="1CA69ABF" w:rsidR="00094F69" w:rsidRPr="00F23648" w:rsidRDefault="00094F69" w:rsidP="0046021E">
      <w:pPr>
        <w:pStyle w:val="whitespace-pre-wrap"/>
        <w:jc w:val="both"/>
        <w:rPr>
          <w:rFonts w:ascii="Arial" w:hAnsi="Arial" w:cs="Arial"/>
          <w:color w:val="000000" w:themeColor="text1"/>
        </w:rPr>
      </w:pPr>
      <w:r w:rsidRPr="00F23648">
        <w:rPr>
          <w:rFonts w:ascii="Arial" w:hAnsi="Arial" w:cs="Arial"/>
          <w:color w:val="000000" w:themeColor="text1"/>
        </w:rPr>
        <w:t xml:space="preserve">Although further clinical validation is warranted, this study indicates the potential for improving surgical techniques in distal femoral angular correction procedures. Additionally, in young or geriatric patients or those with </w:t>
      </w:r>
      <w:r w:rsidRPr="004941F5">
        <w:rPr>
          <w:rStyle w:val="Strong"/>
          <w:rFonts w:ascii="Arial" w:eastAsiaTheme="majorEastAsia" w:hAnsi="Arial" w:cs="Arial"/>
          <w:b w:val="0"/>
          <w:bCs w:val="0"/>
          <w:color w:val="000000" w:themeColor="text1"/>
        </w:rPr>
        <w:t>compromised bone quality</w:t>
      </w:r>
      <w:r w:rsidRPr="00F23648">
        <w:rPr>
          <w:rFonts w:ascii="Arial" w:hAnsi="Arial" w:cs="Arial"/>
          <w:color w:val="000000" w:themeColor="text1"/>
        </w:rPr>
        <w:t>, implementing both compaction and the double-bolt technique may improve surgical outcomes.</w:t>
      </w:r>
    </w:p>
    <w:p w14:paraId="1727A942" w14:textId="3CBD1529" w:rsidR="00B47149" w:rsidRPr="00F23648" w:rsidRDefault="00531CC2" w:rsidP="0046021E">
      <w:pPr>
        <w:spacing w:line="240" w:lineRule="auto"/>
        <w:rPr>
          <w:rFonts w:ascii="Arial" w:hAnsi="Arial" w:cs="Arial"/>
          <w:color w:val="000000" w:themeColor="text1"/>
          <w:sz w:val="24"/>
          <w:szCs w:val="24"/>
        </w:rPr>
      </w:pPr>
      <w:r w:rsidRPr="00F23648">
        <w:rPr>
          <w:rFonts w:ascii="Arial" w:hAnsi="Arial" w:cs="Arial"/>
          <w:b/>
          <w:bCs/>
          <w:color w:val="000000" w:themeColor="text1"/>
          <w:sz w:val="24"/>
          <w:szCs w:val="24"/>
        </w:rPr>
        <w:t>Figures:</w:t>
      </w:r>
      <w:r w:rsidR="00B47149" w:rsidRPr="00F23648">
        <w:rPr>
          <w:rFonts w:ascii="Arial" w:hAnsi="Arial" w:cs="Arial"/>
          <w:color w:val="000000" w:themeColor="text1"/>
          <w:sz w:val="24"/>
          <w:szCs w:val="24"/>
        </w:rPr>
        <w:t xml:space="preserve"> </w:t>
      </w:r>
    </w:p>
    <w:p w14:paraId="4F023BD7" w14:textId="77777777" w:rsidR="000B3AED" w:rsidRPr="00E968FF" w:rsidRDefault="000B3AED" w:rsidP="0046021E">
      <w:pPr>
        <w:spacing w:line="240" w:lineRule="auto"/>
        <w:jc w:val="both"/>
        <w:outlineLvl w:val="0"/>
        <w:rPr>
          <w:rFonts w:ascii="Arial" w:hAnsi="Arial" w:cs="Arial"/>
          <w:color w:val="000000" w:themeColor="text1"/>
          <w:sz w:val="24"/>
          <w:szCs w:val="24"/>
        </w:rPr>
      </w:pPr>
      <w:r>
        <w:rPr>
          <w:rFonts w:ascii="Arial" w:hAnsi="Arial" w:cs="Arial"/>
          <w:color w:val="000000" w:themeColor="text1"/>
          <w:sz w:val="24"/>
          <w:szCs w:val="24"/>
        </w:rPr>
        <w:t>All figures included in power point file</w:t>
      </w:r>
    </w:p>
    <w:p w14:paraId="3C37B077" w14:textId="77777777" w:rsidR="000B3AED" w:rsidRPr="000B3AED" w:rsidRDefault="000B3AED" w:rsidP="0046021E">
      <w:pPr>
        <w:spacing w:line="240" w:lineRule="auto"/>
        <w:rPr>
          <w:rFonts w:ascii="Arial" w:hAnsi="Arial" w:cs="Arial"/>
          <w:color w:val="000000" w:themeColor="text1"/>
          <w:sz w:val="24"/>
          <w:szCs w:val="24"/>
        </w:rPr>
      </w:pPr>
      <w:r w:rsidRPr="000B3AED">
        <w:rPr>
          <w:rFonts w:ascii="Arial" w:hAnsi="Arial" w:cs="Arial"/>
          <w:color w:val="000000" w:themeColor="text1"/>
          <w:sz w:val="24"/>
          <w:szCs w:val="24"/>
        </w:rPr>
        <w:t xml:space="preserve">Figure 1 – The synthetic bone models (right) were composed of a custom-made hollow aluminum tube (center) and a foam cylinder with a specified density either 10, 12.5, 15 or 20 PCF (left). </w:t>
      </w:r>
    </w:p>
    <w:p w14:paraId="196AAB1D" w14:textId="77777777" w:rsidR="000B3AED" w:rsidRPr="000B3AED" w:rsidRDefault="000B3AED" w:rsidP="0046021E">
      <w:pPr>
        <w:spacing w:line="240" w:lineRule="auto"/>
        <w:rPr>
          <w:rFonts w:ascii="Arial" w:hAnsi="Arial" w:cs="Arial"/>
          <w:color w:val="000000" w:themeColor="text1"/>
          <w:sz w:val="24"/>
          <w:szCs w:val="24"/>
        </w:rPr>
      </w:pPr>
      <w:r w:rsidRPr="000B3AED">
        <w:rPr>
          <w:rFonts w:ascii="Arial" w:hAnsi="Arial" w:cs="Arial"/>
          <w:color w:val="000000" w:themeColor="text1"/>
          <w:sz w:val="24"/>
          <w:szCs w:val="24"/>
        </w:rPr>
        <w:t xml:space="preserve">Figure 2 – Bolt configuration for medio-lateral bending. The numbers show bolt position at the distal end of an I-Loc nail </w:t>
      </w:r>
    </w:p>
    <w:p w14:paraId="68B0090B" w14:textId="4395CEE3" w:rsidR="000B3AED" w:rsidRDefault="000B3AED" w:rsidP="0046021E">
      <w:pPr>
        <w:spacing w:line="240" w:lineRule="auto"/>
        <w:rPr>
          <w:rFonts w:ascii="Arial" w:hAnsi="Arial" w:cs="Arial"/>
          <w:color w:val="000000" w:themeColor="text1"/>
          <w:sz w:val="24"/>
          <w:szCs w:val="24"/>
        </w:rPr>
      </w:pPr>
      <w:r w:rsidRPr="000B3AED">
        <w:rPr>
          <w:rFonts w:ascii="Arial" w:hAnsi="Arial" w:cs="Arial"/>
          <w:color w:val="000000" w:themeColor="text1"/>
          <w:sz w:val="24"/>
          <w:szCs w:val="24"/>
        </w:rPr>
        <w:t xml:space="preserve">Figure 3 – Medial-lateral bending test setup. Left: A custom-made bending fixture is secured to a base plate. Right: An Instron load cell with a universal U-joint is shown with the I-Loc nail connected to the U-joint with bolts at one end (right) and inserted into the foam at the other (left), </w:t>
      </w:r>
      <w:r w:rsidR="002D47DF">
        <w:rPr>
          <w:rFonts w:ascii="Arial" w:hAnsi="Arial" w:cs="Arial"/>
          <w:color w:val="000000" w:themeColor="text1"/>
          <w:sz w:val="24"/>
          <w:szCs w:val="24"/>
        </w:rPr>
        <w:t xml:space="preserve">where it is secured </w:t>
      </w:r>
      <w:r w:rsidRPr="000B3AED">
        <w:rPr>
          <w:rFonts w:ascii="Arial" w:hAnsi="Arial" w:cs="Arial"/>
          <w:color w:val="000000" w:themeColor="text1"/>
          <w:sz w:val="24"/>
          <w:szCs w:val="24"/>
        </w:rPr>
        <w:t>with locking bolts (3+4). The green arrow indicates the testing direction. A spacer \ was used to standardize the distance between the bending fixture and the I-Loc nail, to ensure consistent 30mm nail insertion depth of the nail into the bone model during testing</w:t>
      </w:r>
    </w:p>
    <w:p w14:paraId="53AC4465" w14:textId="77777777" w:rsidR="000B3AED" w:rsidRPr="00F23648" w:rsidRDefault="000B3AED" w:rsidP="0046021E">
      <w:pPr>
        <w:spacing w:line="240" w:lineRule="auto"/>
        <w:rPr>
          <w:rFonts w:ascii="Arial" w:hAnsi="Arial" w:cs="Arial"/>
          <w:color w:val="000000" w:themeColor="text1"/>
          <w:sz w:val="24"/>
          <w:szCs w:val="24"/>
        </w:rPr>
      </w:pPr>
    </w:p>
    <w:p w14:paraId="6724D407" w14:textId="77777777" w:rsidR="00094F69" w:rsidRPr="00F23648" w:rsidRDefault="00531CC2" w:rsidP="0046021E">
      <w:pPr>
        <w:tabs>
          <w:tab w:val="left" w:pos="0"/>
        </w:tabs>
        <w:spacing w:line="240" w:lineRule="auto"/>
        <w:jc w:val="both"/>
        <w:outlineLvl w:val="0"/>
        <w:rPr>
          <w:rFonts w:ascii="Arial" w:hAnsi="Arial" w:cs="Arial"/>
          <w:color w:val="000000" w:themeColor="text1"/>
          <w:sz w:val="24"/>
          <w:szCs w:val="24"/>
        </w:rPr>
      </w:pPr>
      <w:r w:rsidRPr="00F23648">
        <w:rPr>
          <w:rFonts w:ascii="Arial" w:hAnsi="Arial" w:cs="Arial"/>
          <w:b/>
          <w:bCs/>
          <w:color w:val="000000" w:themeColor="text1"/>
          <w:sz w:val="24"/>
          <w:szCs w:val="24"/>
        </w:rPr>
        <w:lastRenderedPageBreak/>
        <w:t>References:</w:t>
      </w:r>
      <w:r w:rsidR="00F31763" w:rsidRPr="00F23648">
        <w:rPr>
          <w:rFonts w:ascii="Arial" w:hAnsi="Arial" w:cs="Arial"/>
          <w:color w:val="000000" w:themeColor="text1"/>
          <w:sz w:val="24"/>
          <w:szCs w:val="24"/>
        </w:rPr>
        <w:t xml:space="preserve"> </w:t>
      </w:r>
    </w:p>
    <w:p w14:paraId="0EB98833" w14:textId="55DEDFA0" w:rsidR="00094F69" w:rsidRPr="00F23648" w:rsidRDefault="00094F69" w:rsidP="0046021E">
      <w:pPr>
        <w:pStyle w:val="ListParagraph"/>
        <w:numPr>
          <w:ilvl w:val="0"/>
          <w:numId w:val="1"/>
        </w:numPr>
        <w:tabs>
          <w:tab w:val="left" w:pos="0"/>
        </w:tabs>
        <w:spacing w:line="240" w:lineRule="auto"/>
        <w:jc w:val="both"/>
        <w:outlineLvl w:val="0"/>
        <w:rPr>
          <w:rFonts w:ascii="Arial" w:hAnsi="Arial" w:cs="Arial"/>
          <w:color w:val="000000" w:themeColor="text1"/>
        </w:rPr>
      </w:pPr>
      <w:proofErr w:type="spellStart"/>
      <w:r w:rsidRPr="00F23648">
        <w:rPr>
          <w:rFonts w:ascii="Arial" w:hAnsi="Arial" w:cs="Arial"/>
          <w:color w:val="000000" w:themeColor="text1"/>
        </w:rPr>
        <w:t>Chareancholvanich</w:t>
      </w:r>
      <w:proofErr w:type="spellEnd"/>
      <w:r w:rsidRPr="00F23648">
        <w:rPr>
          <w:rFonts w:ascii="Arial" w:hAnsi="Arial" w:cs="Arial"/>
          <w:color w:val="000000" w:themeColor="text1"/>
        </w:rPr>
        <w:t xml:space="preserve"> K, et al. In vitro stability of cemented and cementless femoral stems with compaction. Clin </w:t>
      </w:r>
      <w:proofErr w:type="spellStart"/>
      <w:r w:rsidRPr="00F23648">
        <w:rPr>
          <w:rFonts w:ascii="Arial" w:hAnsi="Arial" w:cs="Arial"/>
          <w:color w:val="000000" w:themeColor="text1"/>
        </w:rPr>
        <w:t>Orthop</w:t>
      </w:r>
      <w:proofErr w:type="spellEnd"/>
      <w:r w:rsidRPr="00F23648">
        <w:rPr>
          <w:rFonts w:ascii="Arial" w:hAnsi="Arial" w:cs="Arial"/>
          <w:color w:val="000000" w:themeColor="text1"/>
        </w:rPr>
        <w:t xml:space="preserve"> 2002; 394:290</w:t>
      </w:r>
    </w:p>
    <w:p w14:paraId="7EAACB77" w14:textId="77777777" w:rsidR="00094F69" w:rsidRPr="00F23648" w:rsidRDefault="00094F69" w:rsidP="0046021E">
      <w:pPr>
        <w:pStyle w:val="ListParagraph"/>
        <w:numPr>
          <w:ilvl w:val="0"/>
          <w:numId w:val="1"/>
        </w:numPr>
        <w:spacing w:line="240" w:lineRule="auto"/>
        <w:jc w:val="both"/>
        <w:rPr>
          <w:rFonts w:ascii="Arial" w:hAnsi="Arial" w:cs="Arial"/>
          <w:color w:val="000000" w:themeColor="text1"/>
          <w:shd w:val="clear" w:color="auto" w:fill="FFFFFF"/>
        </w:rPr>
      </w:pPr>
      <w:proofErr w:type="spellStart"/>
      <w:r w:rsidRPr="00F23648">
        <w:rPr>
          <w:rFonts w:ascii="Arial" w:hAnsi="Arial" w:cs="Arial"/>
          <w:color w:val="000000" w:themeColor="text1"/>
          <w:shd w:val="clear" w:color="auto" w:fill="FFFFFF"/>
        </w:rPr>
        <w:t>Kold</w:t>
      </w:r>
      <w:proofErr w:type="spellEnd"/>
      <w:r w:rsidRPr="00F23648">
        <w:rPr>
          <w:rFonts w:ascii="Arial" w:hAnsi="Arial" w:cs="Arial"/>
          <w:color w:val="000000" w:themeColor="text1"/>
          <w:shd w:val="clear" w:color="auto" w:fill="FFFFFF"/>
        </w:rPr>
        <w:t xml:space="preserve"> S, et al. Bone compaction enhances implant fixation in a canine gap model. JOR 2005;23(4):824-30</w:t>
      </w:r>
    </w:p>
    <w:p w14:paraId="794C9B40" w14:textId="2ACFA4CD" w:rsidR="00094F69" w:rsidRPr="00F23648" w:rsidRDefault="00094F69" w:rsidP="0046021E">
      <w:pPr>
        <w:pStyle w:val="ListParagraph"/>
        <w:numPr>
          <w:ilvl w:val="0"/>
          <w:numId w:val="1"/>
        </w:numPr>
        <w:spacing w:line="240" w:lineRule="auto"/>
        <w:jc w:val="both"/>
        <w:rPr>
          <w:rFonts w:ascii="Arial" w:hAnsi="Arial" w:cs="Arial"/>
          <w:color w:val="000000" w:themeColor="text1"/>
          <w:shd w:val="clear" w:color="auto" w:fill="FFFFFF"/>
        </w:rPr>
      </w:pPr>
      <w:proofErr w:type="spellStart"/>
      <w:r w:rsidRPr="00F23648">
        <w:rPr>
          <w:rFonts w:ascii="Arial" w:hAnsi="Arial" w:cs="Arial"/>
          <w:color w:val="000000" w:themeColor="text1"/>
        </w:rPr>
        <w:t>Fracka</w:t>
      </w:r>
      <w:proofErr w:type="spellEnd"/>
      <w:r w:rsidRPr="00F23648">
        <w:rPr>
          <w:rFonts w:ascii="Arial" w:hAnsi="Arial" w:cs="Arial"/>
          <w:color w:val="000000" w:themeColor="text1"/>
        </w:rPr>
        <w:t xml:space="preserve"> A, et al. Compaction effect on different densities of cancellous bone and immediate stability of an angle stable interlocking nail in a distal femoral osteotomy model. [</w:t>
      </w:r>
      <w:r w:rsidRPr="00F23648">
        <w:rPr>
          <w:rFonts w:ascii="Arial" w:hAnsi="Arial" w:cs="Arial"/>
          <w:color w:val="000000" w:themeColor="text1"/>
          <w:kern w:val="0"/>
        </w:rPr>
        <w:t xml:space="preserve">Proceedings of the </w:t>
      </w:r>
      <w:r w:rsidR="00F23648">
        <w:rPr>
          <w:rFonts w:ascii="Arial" w:hAnsi="Arial" w:cs="Arial"/>
          <w:color w:val="000000" w:themeColor="text1"/>
          <w:kern w:val="0"/>
        </w:rPr>
        <w:t>2025 ACVS Surgery Summit</w:t>
      </w:r>
      <w:r w:rsidRPr="00F23648">
        <w:rPr>
          <w:rFonts w:ascii="Arial" w:hAnsi="Arial" w:cs="Arial"/>
          <w:color w:val="000000" w:themeColor="text1"/>
          <w:kern w:val="0"/>
        </w:rPr>
        <w:t xml:space="preserve"> </w:t>
      </w:r>
      <w:r w:rsidR="00F23648">
        <w:rPr>
          <w:rFonts w:ascii="Arial" w:hAnsi="Arial" w:cs="Arial"/>
          <w:color w:val="000000" w:themeColor="text1"/>
          <w:kern w:val="0"/>
        </w:rPr>
        <w:t>October</w:t>
      </w:r>
      <w:r w:rsidRPr="00F23648">
        <w:rPr>
          <w:rFonts w:ascii="Arial" w:hAnsi="Arial" w:cs="Arial"/>
          <w:color w:val="000000" w:themeColor="text1"/>
          <w:kern w:val="0"/>
        </w:rPr>
        <w:t xml:space="preserve"> </w:t>
      </w:r>
      <w:r w:rsidR="00F23648">
        <w:rPr>
          <w:rFonts w:ascii="Arial" w:hAnsi="Arial" w:cs="Arial"/>
          <w:color w:val="000000" w:themeColor="text1"/>
          <w:kern w:val="0"/>
        </w:rPr>
        <w:t>23</w:t>
      </w:r>
      <w:r w:rsidRPr="00F23648">
        <w:rPr>
          <w:rFonts w:ascii="Arial" w:hAnsi="Arial" w:cs="Arial"/>
          <w:color w:val="000000" w:themeColor="text1"/>
          <w:kern w:val="0"/>
        </w:rPr>
        <w:t>-</w:t>
      </w:r>
      <w:r w:rsidR="00F23648">
        <w:rPr>
          <w:rFonts w:ascii="Arial" w:hAnsi="Arial" w:cs="Arial"/>
          <w:color w:val="000000" w:themeColor="text1"/>
          <w:kern w:val="0"/>
        </w:rPr>
        <w:t>2</w:t>
      </w:r>
      <w:r w:rsidRPr="00F23648">
        <w:rPr>
          <w:rFonts w:ascii="Arial" w:hAnsi="Arial" w:cs="Arial"/>
          <w:color w:val="000000" w:themeColor="text1"/>
          <w:kern w:val="0"/>
        </w:rPr>
        <w:t>5] 2025 [</w:t>
      </w:r>
      <w:r w:rsidR="00F23648">
        <w:rPr>
          <w:rFonts w:ascii="Arial" w:hAnsi="Arial" w:cs="Arial"/>
          <w:color w:val="000000" w:themeColor="text1"/>
          <w:kern w:val="0"/>
        </w:rPr>
        <w:t>Seattle</w:t>
      </w:r>
      <w:r w:rsidRPr="00F23648">
        <w:rPr>
          <w:rFonts w:ascii="Arial" w:hAnsi="Arial" w:cs="Arial"/>
          <w:color w:val="000000" w:themeColor="text1"/>
          <w:kern w:val="0"/>
        </w:rPr>
        <w:t xml:space="preserve">, </w:t>
      </w:r>
      <w:r w:rsidR="00F23648">
        <w:rPr>
          <w:rFonts w:ascii="Arial" w:hAnsi="Arial" w:cs="Arial"/>
          <w:color w:val="000000" w:themeColor="text1"/>
          <w:kern w:val="0"/>
        </w:rPr>
        <w:t>WA</w:t>
      </w:r>
      <w:r w:rsidRPr="00F23648">
        <w:rPr>
          <w:rFonts w:ascii="Arial" w:hAnsi="Arial" w:cs="Arial"/>
          <w:color w:val="000000" w:themeColor="text1"/>
          <w:kern w:val="0"/>
        </w:rPr>
        <w:t>]</w:t>
      </w:r>
      <w:r w:rsidRPr="00F23648">
        <w:rPr>
          <w:rFonts w:ascii="Arial" w:hAnsi="Arial" w:cs="Arial"/>
          <w:color w:val="000000" w:themeColor="text1"/>
        </w:rPr>
        <w:t xml:space="preserve"> </w:t>
      </w:r>
    </w:p>
    <w:p w14:paraId="0AECCC3B" w14:textId="77777777" w:rsidR="00094F69" w:rsidRPr="00F23648" w:rsidRDefault="00094F69" w:rsidP="0046021E">
      <w:pPr>
        <w:pStyle w:val="ListParagraph"/>
        <w:numPr>
          <w:ilvl w:val="0"/>
          <w:numId w:val="1"/>
        </w:numPr>
        <w:spacing w:line="240" w:lineRule="auto"/>
        <w:jc w:val="both"/>
        <w:rPr>
          <w:rFonts w:ascii="Arial" w:hAnsi="Arial" w:cs="Arial"/>
          <w:color w:val="000000" w:themeColor="text1"/>
          <w:shd w:val="clear" w:color="auto" w:fill="FFFFFF"/>
        </w:rPr>
      </w:pPr>
      <w:r w:rsidRPr="00F23648">
        <w:rPr>
          <w:rFonts w:ascii="Arial" w:hAnsi="Arial" w:cs="Arial"/>
          <w:color w:val="000000" w:themeColor="text1"/>
          <w:lang w:val="en-GB"/>
        </w:rPr>
        <w:t xml:space="preserve">Channer MA, et al. Use of bone compaction in total knee arthroplasty. J Arthroplasty </w:t>
      </w:r>
      <w:proofErr w:type="gramStart"/>
      <w:r w:rsidRPr="00F23648">
        <w:rPr>
          <w:rFonts w:ascii="Arial" w:hAnsi="Arial" w:cs="Arial"/>
          <w:color w:val="000000" w:themeColor="text1"/>
          <w:lang w:val="en-GB"/>
        </w:rPr>
        <w:t>1996;11:743</w:t>
      </w:r>
      <w:proofErr w:type="gramEnd"/>
      <w:r w:rsidRPr="00F23648">
        <w:rPr>
          <w:rFonts w:ascii="Arial" w:hAnsi="Arial" w:cs="Arial"/>
          <w:color w:val="000000" w:themeColor="text1"/>
          <w:lang w:val="en-GB"/>
        </w:rPr>
        <w:t>–749</w:t>
      </w:r>
    </w:p>
    <w:p w14:paraId="6A29290A" w14:textId="2CFE9890" w:rsidR="00F31763" w:rsidRPr="004941F5" w:rsidRDefault="00094F69" w:rsidP="0046021E">
      <w:pPr>
        <w:pStyle w:val="ListParagraph"/>
        <w:numPr>
          <w:ilvl w:val="0"/>
          <w:numId w:val="1"/>
        </w:numPr>
        <w:spacing w:line="240" w:lineRule="auto"/>
        <w:jc w:val="both"/>
        <w:rPr>
          <w:rFonts w:ascii="Arial" w:hAnsi="Arial" w:cs="Arial"/>
          <w:color w:val="000000" w:themeColor="text1"/>
          <w:shd w:val="clear" w:color="auto" w:fill="FFFFFF"/>
        </w:rPr>
      </w:pPr>
      <w:r w:rsidRPr="00F23648">
        <w:rPr>
          <w:rFonts w:ascii="Arial" w:hAnsi="Arial" w:cs="Arial"/>
          <w:color w:val="000000" w:themeColor="text1"/>
          <w:lang w:val="en-GB"/>
        </w:rPr>
        <w:t xml:space="preserve">Green JR, et al. The effect of bone compaction on early fixation of porous-coated implants. J Arthroplasty </w:t>
      </w:r>
      <w:proofErr w:type="gramStart"/>
      <w:r w:rsidRPr="00F23648">
        <w:rPr>
          <w:rFonts w:ascii="Arial" w:hAnsi="Arial" w:cs="Arial"/>
          <w:color w:val="000000" w:themeColor="text1"/>
          <w:lang w:val="en-GB"/>
        </w:rPr>
        <w:t>1999;14:91</w:t>
      </w:r>
      <w:proofErr w:type="gramEnd"/>
      <w:r w:rsidRPr="00F23648">
        <w:rPr>
          <w:rFonts w:ascii="Arial" w:hAnsi="Arial" w:cs="Arial"/>
          <w:color w:val="000000" w:themeColor="text1"/>
          <w:lang w:val="en-GB"/>
        </w:rPr>
        <w:t>–97</w:t>
      </w:r>
    </w:p>
    <w:p w14:paraId="4A5AE73E" w14:textId="77777777" w:rsidR="00F23648" w:rsidRPr="00F23648" w:rsidRDefault="00531CC2" w:rsidP="0046021E">
      <w:pPr>
        <w:spacing w:line="240" w:lineRule="auto"/>
        <w:rPr>
          <w:rFonts w:ascii="Arial" w:hAnsi="Arial" w:cs="Arial"/>
          <w:color w:val="000000" w:themeColor="text1"/>
          <w:sz w:val="24"/>
          <w:szCs w:val="24"/>
        </w:rPr>
      </w:pPr>
      <w:r w:rsidRPr="00F23648">
        <w:rPr>
          <w:rFonts w:ascii="Arial" w:hAnsi="Arial" w:cs="Arial"/>
          <w:b/>
          <w:bCs/>
          <w:color w:val="000000" w:themeColor="text1"/>
          <w:sz w:val="24"/>
          <w:szCs w:val="24"/>
        </w:rPr>
        <w:t>Acknowledgements:</w:t>
      </w:r>
      <w:r w:rsidR="00B71961" w:rsidRPr="00F23648">
        <w:rPr>
          <w:rFonts w:ascii="Arial" w:hAnsi="Arial" w:cs="Arial"/>
          <w:color w:val="000000" w:themeColor="text1"/>
          <w:sz w:val="24"/>
          <w:szCs w:val="24"/>
        </w:rPr>
        <w:t xml:space="preserve"> </w:t>
      </w:r>
      <w:r w:rsidR="00F23648" w:rsidRPr="00F23648">
        <w:rPr>
          <w:rFonts w:ascii="Arial" w:hAnsi="Arial" w:cs="Arial"/>
          <w:color w:val="000000" w:themeColor="text1"/>
          <w:sz w:val="24"/>
          <w:szCs w:val="24"/>
        </w:rPr>
        <w:t>One of the authors has royalties relating to the implants described in this study. This study was funded by Endowed Research Fund (internal funding)</w:t>
      </w:r>
    </w:p>
    <w:p w14:paraId="48184178" w14:textId="1C660314" w:rsidR="00B71961" w:rsidRPr="004B7F9B" w:rsidRDefault="00B71961" w:rsidP="00B71961">
      <w:pPr>
        <w:rPr>
          <w:rFonts w:ascii="Arial" w:hAnsi="Arial" w:cs="Arial"/>
          <w:sz w:val="24"/>
          <w:szCs w:val="24"/>
        </w:rPr>
      </w:pPr>
    </w:p>
    <w:p w14:paraId="65947474" w14:textId="77777777" w:rsidR="00B71961" w:rsidRPr="004B7F9B" w:rsidRDefault="00B71961">
      <w:pPr>
        <w:rPr>
          <w:rFonts w:ascii="Arial" w:hAnsi="Arial" w:cs="Arial"/>
          <w:sz w:val="24"/>
          <w:szCs w:val="24"/>
        </w:rPr>
      </w:pPr>
    </w:p>
    <w:sectPr w:rsidR="00B71961" w:rsidRPr="004B7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887590"/>
    <w:multiLevelType w:val="hybridMultilevel"/>
    <w:tmpl w:val="384ABE76"/>
    <w:lvl w:ilvl="0" w:tplc="2A345D6E">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2858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763"/>
    <w:rsid w:val="00061FA9"/>
    <w:rsid w:val="00094F69"/>
    <w:rsid w:val="000B3AED"/>
    <w:rsid w:val="002045EA"/>
    <w:rsid w:val="00236B09"/>
    <w:rsid w:val="002D47DF"/>
    <w:rsid w:val="002F79D8"/>
    <w:rsid w:val="00423387"/>
    <w:rsid w:val="0046021E"/>
    <w:rsid w:val="004941F5"/>
    <w:rsid w:val="004B7F9B"/>
    <w:rsid w:val="00531CC2"/>
    <w:rsid w:val="00623AEF"/>
    <w:rsid w:val="007F06F9"/>
    <w:rsid w:val="00855D7D"/>
    <w:rsid w:val="009B16D9"/>
    <w:rsid w:val="00B47149"/>
    <w:rsid w:val="00B71961"/>
    <w:rsid w:val="00DD0524"/>
    <w:rsid w:val="00E048D4"/>
    <w:rsid w:val="00F1275B"/>
    <w:rsid w:val="00F23648"/>
    <w:rsid w:val="00F250D2"/>
    <w:rsid w:val="00F31763"/>
    <w:rsid w:val="00FF3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C8413"/>
  <w15:chartTrackingRefBased/>
  <w15:docId w15:val="{CC84EF8A-1AF4-4040-A39A-B7396148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763"/>
    <w:rPr>
      <w:color w:val="808080"/>
    </w:rPr>
  </w:style>
  <w:style w:type="paragraph" w:customStyle="1" w:styleId="whitespace-pre-wrap">
    <w:name w:val="whitespace-pre-wrap"/>
    <w:basedOn w:val="Normal"/>
    <w:rsid w:val="00094F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F69"/>
    <w:rPr>
      <w:b/>
      <w:bCs/>
    </w:rPr>
  </w:style>
  <w:style w:type="paragraph" w:styleId="ListParagraph">
    <w:name w:val="List Paragraph"/>
    <w:basedOn w:val="Normal"/>
    <w:uiPriority w:val="34"/>
    <w:qFormat/>
    <w:rsid w:val="00094F69"/>
    <w:pPr>
      <w:spacing w:line="278" w:lineRule="auto"/>
      <w:ind w:left="720"/>
      <w:contextualSpacing/>
    </w:pPr>
    <w:rPr>
      <w:kern w:val="2"/>
      <w:sz w:val="24"/>
      <w:szCs w:val="24"/>
      <w14:ligatures w14:val="standardContextual"/>
    </w:rPr>
  </w:style>
  <w:style w:type="paragraph" w:styleId="NormalWeb">
    <w:name w:val="Normal (Web)"/>
    <w:basedOn w:val="Normal"/>
    <w:uiPriority w:val="99"/>
    <w:semiHidden/>
    <w:unhideWhenUsed/>
    <w:rsid w:val="004941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423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44867">
      <w:bodyDiv w:val="1"/>
      <w:marLeft w:val="0"/>
      <w:marRight w:val="0"/>
      <w:marTop w:val="0"/>
      <w:marBottom w:val="0"/>
      <w:divBdr>
        <w:top w:val="none" w:sz="0" w:space="0" w:color="auto"/>
        <w:left w:val="none" w:sz="0" w:space="0" w:color="auto"/>
        <w:bottom w:val="none" w:sz="0" w:space="0" w:color="auto"/>
        <w:right w:val="none" w:sz="0" w:space="0" w:color="auto"/>
      </w:divBdr>
    </w:div>
    <w:div w:id="841511738">
      <w:bodyDiv w:val="1"/>
      <w:marLeft w:val="0"/>
      <w:marRight w:val="0"/>
      <w:marTop w:val="0"/>
      <w:marBottom w:val="0"/>
      <w:divBdr>
        <w:top w:val="none" w:sz="0" w:space="0" w:color="auto"/>
        <w:left w:val="none" w:sz="0" w:space="0" w:color="auto"/>
        <w:bottom w:val="none" w:sz="0" w:space="0" w:color="auto"/>
        <w:right w:val="none" w:sz="0" w:space="0" w:color="auto"/>
      </w:divBdr>
    </w:div>
    <w:div w:id="961418442">
      <w:bodyDiv w:val="1"/>
      <w:marLeft w:val="0"/>
      <w:marRight w:val="0"/>
      <w:marTop w:val="0"/>
      <w:marBottom w:val="0"/>
      <w:divBdr>
        <w:top w:val="none" w:sz="0" w:space="0" w:color="auto"/>
        <w:left w:val="none" w:sz="0" w:space="0" w:color="auto"/>
        <w:bottom w:val="none" w:sz="0" w:space="0" w:color="auto"/>
        <w:right w:val="none" w:sz="0" w:space="0" w:color="auto"/>
      </w:divBdr>
    </w:div>
    <w:div w:id="1725330305">
      <w:bodyDiv w:val="1"/>
      <w:marLeft w:val="0"/>
      <w:marRight w:val="0"/>
      <w:marTop w:val="0"/>
      <w:marBottom w:val="0"/>
      <w:divBdr>
        <w:top w:val="none" w:sz="0" w:space="0" w:color="auto"/>
        <w:left w:val="none" w:sz="0" w:space="0" w:color="auto"/>
        <w:bottom w:val="none" w:sz="0" w:space="0" w:color="auto"/>
        <w:right w:val="none" w:sz="0" w:space="0" w:color="auto"/>
      </w:divBdr>
    </w:div>
    <w:div w:id="1899124380">
      <w:bodyDiv w:val="1"/>
      <w:marLeft w:val="0"/>
      <w:marRight w:val="0"/>
      <w:marTop w:val="0"/>
      <w:marBottom w:val="0"/>
      <w:divBdr>
        <w:top w:val="none" w:sz="0" w:space="0" w:color="auto"/>
        <w:left w:val="none" w:sz="0" w:space="0" w:color="auto"/>
        <w:bottom w:val="none" w:sz="0" w:space="0" w:color="auto"/>
        <w:right w:val="none" w:sz="0" w:space="0" w:color="auto"/>
      </w:divBdr>
    </w:div>
    <w:div w:id="213158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DC7A-7E89-4596-9D2D-73753566B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Nicole McGee</dc:creator>
  <cp:keywords/>
  <dc:description/>
  <cp:lastModifiedBy>Fracka, Agnieszka</cp:lastModifiedBy>
  <cp:revision>12</cp:revision>
  <dcterms:created xsi:type="dcterms:W3CDTF">2025-07-24T22:04:00Z</dcterms:created>
  <dcterms:modified xsi:type="dcterms:W3CDTF">2025-11-01T00:57:00Z</dcterms:modified>
</cp:coreProperties>
</file>