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D6F5" w14:textId="455FB57A" w:rsidR="00754EE1" w:rsidRDefault="00264693" w:rsidP="00B42827">
      <w:pPr>
        <w:spacing w:after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DE391B">
        <w:rPr>
          <w:rFonts w:ascii="Arial" w:hAnsi="Arial" w:cs="Arial"/>
          <w:sz w:val="24"/>
          <w:szCs w:val="24"/>
          <w:lang w:val="en-US"/>
        </w:rPr>
        <w:t xml:space="preserve">Title: </w:t>
      </w:r>
      <w:r w:rsidRPr="00DE391B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Osteotomy 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Angulation during </w:t>
      </w:r>
      <w:r w:rsidR="00543A97">
        <w:rPr>
          <w:rFonts w:ascii="Arial" w:hAnsi="Arial" w:cs="Arial"/>
          <w:b w:val="0"/>
          <w:bCs w:val="0"/>
          <w:sz w:val="24"/>
          <w:szCs w:val="24"/>
          <w:lang w:val="en-US"/>
        </w:rPr>
        <w:t>TPLO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results in predictable </w:t>
      </w:r>
      <w:r w:rsidR="003F48C9">
        <w:rPr>
          <w:rFonts w:ascii="Arial" w:hAnsi="Arial" w:cs="Arial"/>
          <w:b w:val="0"/>
          <w:bCs w:val="0"/>
          <w:sz w:val="24"/>
          <w:szCs w:val="24"/>
          <w:lang w:val="en-US"/>
        </w:rPr>
        <w:t>t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ibia </w:t>
      </w:r>
      <w:r w:rsidR="003F48C9">
        <w:rPr>
          <w:rFonts w:ascii="Arial" w:hAnsi="Arial" w:cs="Arial"/>
          <w:b w:val="0"/>
          <w:bCs w:val="0"/>
          <w:sz w:val="24"/>
          <w:szCs w:val="24"/>
          <w:lang w:val="en-US"/>
        </w:rPr>
        <w:t>d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eformity in a virtual CT-based </w:t>
      </w:r>
      <w:r w:rsidR="00543A97">
        <w:rPr>
          <w:rFonts w:ascii="Arial" w:hAnsi="Arial" w:cs="Arial"/>
          <w:b w:val="0"/>
          <w:bCs w:val="0"/>
          <w:sz w:val="24"/>
          <w:szCs w:val="24"/>
          <w:lang w:val="en-US"/>
        </w:rPr>
        <w:t>CAD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Model</w:t>
      </w:r>
    </w:p>
    <w:p w14:paraId="2EA039F0" w14:textId="77777777" w:rsidR="00264693" w:rsidRDefault="00264693" w:rsidP="00B42827">
      <w:pPr>
        <w:spacing w:after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53DB8A39" w14:textId="36E001FE" w:rsidR="00264693" w:rsidRDefault="00264693" w:rsidP="00B42827">
      <w:pPr>
        <w:spacing w:after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Objective: </w:t>
      </w:r>
      <w:r w:rsidR="003210FD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TPLO is a commonly performed orthopedic surgery procedure that, despite its routine practice, can be technically challenging. </w:t>
      </w:r>
      <w:r w:rsidR="003F48C9">
        <w:rPr>
          <w:rFonts w:ascii="Arial" w:hAnsi="Arial" w:cs="Arial"/>
          <w:b w:val="0"/>
          <w:bCs w:val="0"/>
          <w:sz w:val="24"/>
          <w:szCs w:val="24"/>
          <w:lang w:val="en-US"/>
        </w:rPr>
        <w:t>O</w:t>
      </w:r>
      <w:r w:rsidR="00135E2F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steotomy </w:t>
      </w:r>
      <w:r w:rsidR="00543A97">
        <w:rPr>
          <w:rFonts w:ascii="Arial" w:hAnsi="Arial" w:cs="Arial"/>
          <w:b w:val="0"/>
          <w:bCs w:val="0"/>
          <w:sz w:val="24"/>
          <w:szCs w:val="24"/>
          <w:lang w:val="en-US"/>
        </w:rPr>
        <w:t>malalignment</w:t>
      </w:r>
      <w:r w:rsidR="00FB246E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="00ED59A4">
        <w:rPr>
          <w:rFonts w:ascii="Arial" w:hAnsi="Arial" w:cs="Arial"/>
          <w:b w:val="0"/>
          <w:bCs w:val="0"/>
          <w:sz w:val="24"/>
          <w:szCs w:val="24"/>
          <w:lang w:val="en-US"/>
        </w:rPr>
        <w:t>and/or mal</w:t>
      </w:r>
      <w:r w:rsidR="006252C4">
        <w:rPr>
          <w:rFonts w:ascii="Arial" w:hAnsi="Arial" w:cs="Arial"/>
          <w:b w:val="0"/>
          <w:bCs w:val="0"/>
          <w:sz w:val="24"/>
          <w:szCs w:val="24"/>
          <w:lang w:val="en-US"/>
        </w:rPr>
        <w:t>rotation</w:t>
      </w:r>
      <w:r w:rsidR="00543A9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="00135E2F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can </w:t>
      </w:r>
      <w:r w:rsidR="006252C4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result in </w:t>
      </w:r>
      <w:r w:rsidR="00135E2F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tibial </w:t>
      </w:r>
      <w:r w:rsidR="003F48C9">
        <w:rPr>
          <w:rFonts w:ascii="Arial" w:hAnsi="Arial" w:cs="Arial"/>
          <w:b w:val="0"/>
          <w:bCs w:val="0"/>
          <w:sz w:val="24"/>
          <w:szCs w:val="24"/>
          <w:lang w:val="en-US"/>
        </w:rPr>
        <w:t>deformity,</w:t>
      </w:r>
      <w:r w:rsidR="006252C4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which is challenging to identify on radiographs</w:t>
      </w:r>
      <w:r w:rsidR="00E43BCC">
        <w:rPr>
          <w:rFonts w:ascii="Arial" w:hAnsi="Arial" w:cs="Arial"/>
          <w:b w:val="0"/>
          <w:bCs w:val="0"/>
          <w:sz w:val="24"/>
          <w:szCs w:val="24"/>
          <w:lang w:val="en-US"/>
        </w:rPr>
        <w:t>, and may</w:t>
      </w:r>
      <w:r w:rsidR="003F48C9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="00543A97">
        <w:rPr>
          <w:rFonts w:ascii="Arial" w:hAnsi="Arial" w:cs="Arial"/>
          <w:b w:val="0"/>
          <w:bCs w:val="0"/>
          <w:sz w:val="24"/>
          <w:szCs w:val="24"/>
          <w:lang w:val="en-US"/>
        </w:rPr>
        <w:t>lead to poor</w:t>
      </w:r>
      <w:r w:rsidR="00135E2F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="00E43BCC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clinical </w:t>
      </w:r>
      <w:r w:rsidR="00135E2F">
        <w:rPr>
          <w:rFonts w:ascii="Arial" w:hAnsi="Arial" w:cs="Arial"/>
          <w:b w:val="0"/>
          <w:bCs w:val="0"/>
          <w:sz w:val="24"/>
          <w:szCs w:val="24"/>
          <w:lang w:val="en-US"/>
        </w:rPr>
        <w:t>outcome</w:t>
      </w:r>
      <w:r w:rsidR="003F48C9">
        <w:rPr>
          <w:rFonts w:ascii="Arial" w:hAnsi="Arial" w:cs="Arial"/>
          <w:b w:val="0"/>
          <w:bCs w:val="0"/>
          <w:sz w:val="24"/>
          <w:szCs w:val="24"/>
          <w:lang w:val="en-US"/>
        </w:rPr>
        <w:t>s</w:t>
      </w:r>
      <w:r w:rsidR="00135E2F">
        <w:rPr>
          <w:rFonts w:ascii="Arial" w:hAnsi="Arial" w:cs="Arial"/>
          <w:b w:val="0"/>
          <w:bCs w:val="0"/>
          <w:sz w:val="24"/>
          <w:szCs w:val="24"/>
          <w:lang w:val="en-US"/>
        </w:rPr>
        <w:t>.</w:t>
      </w:r>
      <w:r w:rsidR="00135E2F" w:rsidRPr="00135E2F">
        <w:rPr>
          <w:rFonts w:ascii="Arial" w:hAnsi="Arial" w:cs="Arial"/>
          <w:b w:val="0"/>
          <w:bCs w:val="0"/>
          <w:sz w:val="24"/>
          <w:szCs w:val="24"/>
          <w:vertAlign w:val="superscript"/>
          <w:lang w:val="en-US"/>
        </w:rPr>
        <w:t>1</w:t>
      </w:r>
      <w:r w:rsidR="00135E2F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Making use of r</w:t>
      </w:r>
      <w:r w:rsidR="00135E2F" w:rsidRPr="00135E2F">
        <w:rPr>
          <w:rFonts w:ascii="Arial" w:hAnsi="Arial" w:cs="Arial"/>
          <w:b w:val="0"/>
          <w:bCs w:val="0"/>
          <w:sz w:val="24"/>
          <w:szCs w:val="24"/>
          <w:lang w:val="en-US"/>
        </w:rPr>
        <w:t>ecent</w:t>
      </w:r>
      <w:r w:rsidR="00135E2F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technological advancements</w:t>
      </w:r>
      <w:r w:rsidR="00B4282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regarding 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CT and computer-aided design (CAD) tools, </w:t>
      </w:r>
      <w:r w:rsidR="00135E2F">
        <w:rPr>
          <w:rFonts w:ascii="Arial" w:hAnsi="Arial" w:cs="Arial"/>
          <w:b w:val="0"/>
          <w:bCs w:val="0"/>
          <w:sz w:val="24"/>
          <w:szCs w:val="24"/>
          <w:lang w:val="en-US"/>
        </w:rPr>
        <w:t>we quanti</w:t>
      </w:r>
      <w:r w:rsidR="00543A97">
        <w:rPr>
          <w:rFonts w:ascii="Arial" w:hAnsi="Arial" w:cs="Arial"/>
          <w:b w:val="0"/>
          <w:bCs w:val="0"/>
          <w:sz w:val="24"/>
          <w:szCs w:val="24"/>
          <w:lang w:val="en-US"/>
        </w:rPr>
        <w:t>fied</w:t>
      </w:r>
      <w:r w:rsidR="00135E2F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the effects of uniplanar and multiplanar osteotomy angulation on the orientation of the tibia during virtual TPLO. Further, we compare</w:t>
      </w:r>
      <w:r w:rsidR="003F48C9">
        <w:rPr>
          <w:rFonts w:ascii="Arial" w:hAnsi="Arial" w:cs="Arial"/>
          <w:b w:val="0"/>
          <w:bCs w:val="0"/>
          <w:sz w:val="24"/>
          <w:szCs w:val="24"/>
          <w:lang w:val="en-US"/>
        </w:rPr>
        <w:t>d</w:t>
      </w:r>
      <w:r w:rsidR="00135E2F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radiographic assessment to a novel CT-based CAD evaluation metho</w:t>
      </w:r>
      <w:r w:rsidR="00B42827">
        <w:rPr>
          <w:rFonts w:ascii="Arial" w:hAnsi="Arial" w:cs="Arial"/>
          <w:b w:val="0"/>
          <w:bCs w:val="0"/>
          <w:sz w:val="24"/>
          <w:szCs w:val="24"/>
          <w:lang w:val="en-US"/>
        </w:rPr>
        <w:t>d to investigate osteotomy angulation accuracy.</w:t>
      </w:r>
    </w:p>
    <w:p w14:paraId="285284F9" w14:textId="77777777" w:rsidR="00264693" w:rsidRDefault="00264693" w:rsidP="00B4282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0C41D40" w14:textId="703C68FB" w:rsidR="00B42827" w:rsidRDefault="00264693" w:rsidP="00B42827">
      <w:pPr>
        <w:spacing w:after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Study Design: </w:t>
      </w:r>
      <w:r w:rsidR="00B4282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CAD </w:t>
      </w:r>
      <w:r w:rsidR="008254BB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TPLO </w:t>
      </w:r>
      <w:r w:rsidR="00B4282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simulation and retrospective case series of 20 client-owned dogs. </w:t>
      </w:r>
    </w:p>
    <w:p w14:paraId="16594100" w14:textId="77777777" w:rsidR="00820AB7" w:rsidRDefault="00B42827" w:rsidP="005535F8">
      <w:pPr>
        <w:spacing w:after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CT data of canine tibiae were reconstructed in CAD software and aligned to </w:t>
      </w:r>
      <w:r w:rsidR="00543A9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a 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coordinate system. Virtual TPLO was performed using frontal, axial and multiplanar osteotomy angulation ranging from </w:t>
      </w:r>
      <w:r w:rsidR="00543A97">
        <w:rPr>
          <w:rFonts w:ascii="Arial" w:hAnsi="Arial" w:cs="Arial"/>
          <w:b w:val="0"/>
          <w:bCs w:val="0"/>
          <w:sz w:val="24"/>
          <w:szCs w:val="24"/>
          <w:lang w:val="en-US"/>
        </w:rPr>
        <w:t>+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24° to -24° at 3° increments. The virtual </w:t>
      </w:r>
      <w:r w:rsidR="00543A9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osteotomy 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was </w:t>
      </w:r>
      <w:r w:rsidR="005E0EE2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centered on the tibial eminence and then 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>rotated</w:t>
      </w:r>
      <w:r w:rsidR="005535F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in the previously defined planes (axial, frontal, combination</w:t>
      </w:r>
      <w:r w:rsidR="009713DD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of both</w:t>
      </w:r>
      <w:r w:rsidR="005535F8">
        <w:rPr>
          <w:rFonts w:ascii="Arial" w:hAnsi="Arial" w:cs="Arial"/>
          <w:b w:val="0"/>
          <w:bCs w:val="0"/>
          <w:sz w:val="24"/>
          <w:szCs w:val="24"/>
          <w:lang w:val="en-US"/>
        </w:rPr>
        <w:t>)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around a center of rotation. </w:t>
      </w:r>
      <w:r w:rsidR="005535F8">
        <w:rPr>
          <w:rFonts w:ascii="Arial" w:hAnsi="Arial" w:cs="Arial"/>
          <w:b w:val="0"/>
          <w:bCs w:val="0"/>
          <w:sz w:val="24"/>
          <w:szCs w:val="24"/>
          <w:lang w:val="en-US"/>
        </w:rPr>
        <w:t>A 0°</w:t>
      </w:r>
      <w:r w:rsidR="006E6A3B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angled osteotomy</w:t>
      </w:r>
      <w:r w:rsidR="005535F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control was performed, simulating a perfectly orientated TPLO</w:t>
      </w:r>
      <w:r w:rsidR="00D055DE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to validate the </w:t>
      </w:r>
      <w:r w:rsidR="00B77321">
        <w:rPr>
          <w:rFonts w:ascii="Arial" w:hAnsi="Arial" w:cs="Arial"/>
          <w:b w:val="0"/>
          <w:bCs w:val="0"/>
          <w:sz w:val="24"/>
          <w:szCs w:val="24"/>
          <w:lang w:val="en-US"/>
        </w:rPr>
        <w:t>workflow</w:t>
      </w:r>
      <w:r w:rsidR="005535F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. 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The tibial plateau angle was reduced by 20°, 25°, 30° and 35° </w:t>
      </w:r>
      <w:r w:rsidR="005535F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in all cases. Malalignment was assessed using a </w:t>
      </w:r>
      <w:r w:rsidR="0074648D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novel </w:t>
      </w:r>
      <w:r w:rsidR="005535F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CAD tool that tracks the rotation </w:t>
      </w:r>
      <w:r w:rsidR="0074648D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and translation </w:t>
      </w:r>
      <w:r w:rsidR="005535F8">
        <w:rPr>
          <w:rFonts w:ascii="Arial" w:hAnsi="Arial" w:cs="Arial"/>
          <w:b w:val="0"/>
          <w:bCs w:val="0"/>
          <w:sz w:val="24"/>
          <w:szCs w:val="24"/>
          <w:lang w:val="en-US"/>
        </w:rPr>
        <w:t>of the proximal tibia segment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. </w:t>
      </w:r>
    </w:p>
    <w:p w14:paraId="4908A814" w14:textId="4429E594" w:rsidR="005535F8" w:rsidRDefault="005535F8" w:rsidP="005535F8">
      <w:pPr>
        <w:spacing w:after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TPLO was routinely performed on 20 client-owned dogs using a free-hand osteotomy method without a jig. Post-operative radiographic and CT data were retrospectively examined to determine TPLO angulation accuracy. The CT data were used to reconstruct the tibiae in CAD, where a cylinder of the same size as the blade used in surgery was subjectively matched to the </w:t>
      </w:r>
      <w:r w:rsidR="009713DD">
        <w:rPr>
          <w:rFonts w:ascii="Arial" w:hAnsi="Arial" w:cs="Arial"/>
          <w:b w:val="0"/>
          <w:bCs w:val="0"/>
          <w:sz w:val="24"/>
          <w:szCs w:val="24"/>
          <w:lang w:val="en-US"/>
        </w:rPr>
        <w:t>osteotomy. A board-certified surgeon evaluated the blinded radiographs by measuring the angle between the osteotomy and the mechanical tibia axis in the frontal plane and categorized axial plane angulation subjectively.</w:t>
      </w:r>
      <w:r w:rsidR="006C4FA5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Radiographs were compared to CT CAD data</w:t>
      </w:r>
      <w:r w:rsidR="00AE32A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for osteotomy accuracy.</w:t>
      </w:r>
    </w:p>
    <w:p w14:paraId="6C24DBDB" w14:textId="77777777" w:rsidR="005535F8" w:rsidRDefault="005535F8" w:rsidP="00B4282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ED00FA5" w14:textId="34391050" w:rsidR="00820AB7" w:rsidRDefault="00264693" w:rsidP="00820AB7">
      <w:pPr>
        <w:spacing w:after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Results: </w:t>
      </w:r>
      <w:r w:rsidR="009713DD">
        <w:rPr>
          <w:rFonts w:ascii="Arial" w:hAnsi="Arial" w:cs="Arial"/>
          <w:b w:val="0"/>
          <w:bCs w:val="0"/>
          <w:sz w:val="24"/>
          <w:szCs w:val="24"/>
          <w:lang w:val="en-US"/>
        </w:rPr>
        <w:t>Frontal plane malalignment with proximal-to-distal osteotomies resulted in external tibial torsion and valgus, distal-to-proximal osteotomies in internal tibial torsion and varus</w:t>
      </w:r>
      <w:r w:rsidR="00D544AC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(Figure 1)</w:t>
      </w:r>
      <w:r w:rsidR="005226FE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. </w:t>
      </w:r>
      <w:r w:rsidR="003F48C9">
        <w:rPr>
          <w:rFonts w:ascii="Arial" w:hAnsi="Arial" w:cs="Arial"/>
          <w:b w:val="0"/>
          <w:bCs w:val="0"/>
          <w:sz w:val="24"/>
          <w:szCs w:val="24"/>
          <w:lang w:val="en-US"/>
        </w:rPr>
        <w:t>A</w:t>
      </w:r>
      <w:r w:rsidR="009713DD">
        <w:rPr>
          <w:rFonts w:ascii="Arial" w:hAnsi="Arial" w:cs="Arial"/>
          <w:b w:val="0"/>
          <w:bCs w:val="0"/>
          <w:sz w:val="24"/>
          <w:szCs w:val="24"/>
          <w:lang w:val="en-US"/>
        </w:rPr>
        <w:t>xial plane malalignment with cranial-to-caudal osteotomies caused valgus and internal tibial torsion, and caudal-to-cranial osteotomies caused varus and external tibial torsion</w:t>
      </w:r>
      <w:r w:rsidR="005226FE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(Figure </w:t>
      </w:r>
      <w:r w:rsidR="00D544AC">
        <w:rPr>
          <w:rFonts w:ascii="Arial" w:hAnsi="Arial" w:cs="Arial"/>
          <w:b w:val="0"/>
          <w:bCs w:val="0"/>
          <w:sz w:val="24"/>
          <w:szCs w:val="24"/>
          <w:lang w:val="en-US"/>
        </w:rPr>
        <w:t>2</w:t>
      </w:r>
      <w:r w:rsidR="005226FE">
        <w:rPr>
          <w:rFonts w:ascii="Arial" w:hAnsi="Arial" w:cs="Arial"/>
          <w:b w:val="0"/>
          <w:bCs w:val="0"/>
          <w:sz w:val="24"/>
          <w:szCs w:val="24"/>
          <w:lang w:val="en-US"/>
        </w:rPr>
        <w:t>)</w:t>
      </w:r>
      <w:r w:rsidR="009713DD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. Multiplanar osteotomy angulation resulted in predictable combinations of these effects. The mathematical correlation between osteotomy </w:t>
      </w:r>
      <w:r w:rsidR="00B302E7">
        <w:rPr>
          <w:rFonts w:ascii="Arial" w:hAnsi="Arial" w:cs="Arial"/>
          <w:b w:val="0"/>
          <w:bCs w:val="0"/>
          <w:sz w:val="24"/>
          <w:szCs w:val="24"/>
          <w:lang w:val="en-US"/>
        </w:rPr>
        <w:t>orientation</w:t>
      </w:r>
      <w:r w:rsidR="009713DD">
        <w:rPr>
          <w:rFonts w:ascii="Arial" w:hAnsi="Arial" w:cs="Arial"/>
          <w:b w:val="0"/>
          <w:bCs w:val="0"/>
          <w:sz w:val="24"/>
          <w:szCs w:val="24"/>
          <w:lang w:val="en-US"/>
        </w:rPr>
        <w:t>, tibial plateau angle reduction and resultant tibia deformity was revealed</w:t>
      </w:r>
      <w:r w:rsidR="00B302E7">
        <w:rPr>
          <w:rFonts w:ascii="Arial" w:hAnsi="Arial" w:cs="Arial"/>
          <w:b w:val="0"/>
          <w:bCs w:val="0"/>
          <w:sz w:val="24"/>
          <w:szCs w:val="24"/>
          <w:lang w:val="en-US"/>
        </w:rPr>
        <w:t>, and formulas predicting these virtual effects with an accuracy of &lt;1° were created</w:t>
      </w:r>
      <w:r w:rsidR="009713DD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. </w:t>
      </w:r>
    </w:p>
    <w:p w14:paraId="5D136388" w14:textId="4CFFDD0D" w:rsidR="009713DD" w:rsidRPr="001E0C9A" w:rsidRDefault="009713DD" w:rsidP="009713DD">
      <w:pPr>
        <w:rPr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Mean osteotomy orientation in 20 dogs was 13.347° (SD: 8.555) cranial-to-caudal and 2.592° (SD: 4.606) distal-to-proximal using CAD. Radiographic evaluation showed mean distal-to-proximal angulation of 2.02° (SD: 4.100) and unreliable axial plane assessment. In 6 of the </w:t>
      </w:r>
      <w:r w:rsidR="00B302E7">
        <w:rPr>
          <w:rFonts w:ascii="Arial" w:hAnsi="Arial" w:cs="Arial"/>
          <w:b w:val="0"/>
          <w:bCs w:val="0"/>
          <w:sz w:val="24"/>
          <w:szCs w:val="24"/>
          <w:lang w:val="en-US"/>
        </w:rPr>
        <w:t>2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0 dogs the osteotomy was oriented more than 20° cranial-to-caudal, while </w:t>
      </w:r>
      <w:r w:rsidR="00B302E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only 8 had less than 10° of axial plane osteotomy angulation.  </w:t>
      </w:r>
    </w:p>
    <w:p w14:paraId="4BDE45BA" w14:textId="77777777" w:rsidR="009713DD" w:rsidRDefault="009713DD" w:rsidP="00B4282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925CAF0" w14:textId="43BDBADF" w:rsidR="009D76FB" w:rsidRDefault="00264693" w:rsidP="00E96FF7">
      <w:pPr>
        <w:spacing w:after="0"/>
        <w:rPr>
          <w:rFonts w:ascii="Times New Roman" w:hAnsi="Times New Roman"/>
          <w:bCs w:val="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Conclusion: </w:t>
      </w:r>
      <w:r w:rsidR="009D76FB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These findings are impactful given the commonality of the procedure as well as the potential impact on clinical outcome. We were able to show that </w:t>
      </w:r>
      <w:r w:rsidR="009D76FB">
        <w:rPr>
          <w:rFonts w:ascii="Arial" w:hAnsi="Arial" w:cs="Arial"/>
          <w:b w:val="0"/>
          <w:bCs w:val="0"/>
          <w:sz w:val="24"/>
          <w:szCs w:val="24"/>
          <w:lang w:val="en-US"/>
        </w:rPr>
        <w:lastRenderedPageBreak/>
        <w:t xml:space="preserve">osteotomy angulation during virtual TPLO results in predictable tibia deformity, </w:t>
      </w:r>
      <w:r w:rsidR="00E96FF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and main </w:t>
      </w:r>
      <w:r w:rsidR="007B6B19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osteotomy </w:t>
      </w:r>
      <w:r w:rsidR="00E96FF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malalignment </w:t>
      </w:r>
      <w:r w:rsidR="007B6B19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in clinical cases </w:t>
      </w:r>
      <w:r w:rsidR="00E96FF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occurred in the axial plane. </w:t>
      </w:r>
      <w:r w:rsidR="000B722A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For example, a 10° axial plane </w:t>
      </w:r>
      <w:r w:rsidR="003B2BD1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(cranial-to-caudal) </w:t>
      </w:r>
      <w:r w:rsidR="000B722A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malalignment for a 25° </w:t>
      </w:r>
      <w:r w:rsidR="00E046C1">
        <w:rPr>
          <w:rFonts w:ascii="Arial" w:hAnsi="Arial" w:cs="Arial"/>
          <w:b w:val="0"/>
          <w:bCs w:val="0"/>
          <w:sz w:val="24"/>
          <w:szCs w:val="24"/>
          <w:lang w:val="en-US"/>
        </w:rPr>
        <w:t>TPA reduction would result in a 4° valgus deformity</w:t>
      </w:r>
      <w:r w:rsidR="003B2BD1">
        <w:rPr>
          <w:rFonts w:ascii="Arial" w:hAnsi="Arial" w:cs="Arial"/>
          <w:b w:val="0"/>
          <w:bCs w:val="0"/>
          <w:sz w:val="24"/>
          <w:szCs w:val="24"/>
          <w:lang w:val="en-US"/>
        </w:rPr>
        <w:t>.</w:t>
      </w:r>
      <w:r w:rsidR="000B722A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="00E96FF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Traditional radiographic evaluation proved inadequate to detect this kind of inaccuracy, but CT-based CAD evaluation can be impractical on a routine basis. This proves the need for large-scale studies, which will also help further understand the clinical significance of these findings. Nonetheless, the results are a call for critical review of our current techniques and evaluation methods. </w:t>
      </w:r>
    </w:p>
    <w:p w14:paraId="29E70EEA" w14:textId="77777777" w:rsidR="00264693" w:rsidRDefault="00264693" w:rsidP="00B4282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033E38D" w14:textId="77777777" w:rsidR="00264693" w:rsidRDefault="00264693" w:rsidP="00B42827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Acknowledgements: </w:t>
      </w:r>
    </w:p>
    <w:p w14:paraId="01AD6913" w14:textId="7A3E642B" w:rsidR="00E96FF7" w:rsidRDefault="009542FB" w:rsidP="00B42827">
      <w:pPr>
        <w:spacing w:after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 w:val="0"/>
          <w:bCs w:val="0"/>
          <w:sz w:val="24"/>
          <w:szCs w:val="24"/>
          <w:lang w:val="en-US"/>
        </w:rPr>
        <w:t>Zomedica</w:t>
      </w:r>
      <w:proofErr w:type="spellEnd"/>
      <w:r w:rsidR="00AF0299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="003F48C9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Inc. </w:t>
      </w:r>
      <w:r w:rsidR="00AF0299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provided the funding for the CT scans as part of an unrelated clinical trial. </w:t>
      </w:r>
      <w:r w:rsidR="00E96FF7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Boehringer Ingelheim provided financial support for the students working on this project. </w:t>
      </w:r>
    </w:p>
    <w:p w14:paraId="74A4B100" w14:textId="77777777" w:rsidR="00E96FF7" w:rsidRDefault="00E96FF7" w:rsidP="00B42827">
      <w:pPr>
        <w:spacing w:after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6D27488F" w14:textId="77777777" w:rsidR="00E96FF7" w:rsidRDefault="00E96FF7" w:rsidP="00B42827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References: </w:t>
      </w:r>
    </w:p>
    <w:p w14:paraId="17177496" w14:textId="77777777" w:rsidR="0074648D" w:rsidRPr="0074648D" w:rsidRDefault="0074648D" w:rsidP="0074648D">
      <w:pPr>
        <w:pStyle w:val="Listenabsatz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 w:val="0"/>
          <w:bCs w:val="0"/>
          <w:kern w:val="0"/>
          <w:sz w:val="24"/>
          <w:szCs w:val="24"/>
          <w:lang w:val="en-US" w:eastAsia="de-DE"/>
          <w14:ligatures w14:val="none"/>
        </w:rPr>
      </w:pPr>
      <w:r w:rsidRPr="0074648D"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W</w:t>
      </w:r>
      <w:r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HEELER</w:t>
      </w:r>
      <w:r w:rsidRPr="0074648D"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 xml:space="preserve"> J</w:t>
      </w:r>
      <w:r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.</w:t>
      </w:r>
      <w:r w:rsidRPr="0074648D"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L</w:t>
      </w:r>
      <w:r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.</w:t>
      </w:r>
      <w:r w:rsidRPr="0074648D"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, C</w:t>
      </w:r>
      <w:r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ROSS</w:t>
      </w:r>
      <w:r w:rsidRPr="0074648D"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 xml:space="preserve"> A</w:t>
      </w:r>
      <w:r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.</w:t>
      </w:r>
      <w:r w:rsidRPr="0074648D"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R</w:t>
      </w:r>
      <w:r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.</w:t>
      </w:r>
      <w:r w:rsidRPr="0074648D"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, G</w:t>
      </w:r>
      <w:r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INGRICH</w:t>
      </w:r>
      <w:r w:rsidRPr="0074648D"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 xml:space="preserve"> W. In vitro effects of osteotomy angle and osteotomy reduction on tibial angulation and rotation during the tibial plateau-leveling osteotomy procedure. </w:t>
      </w:r>
      <w:r w:rsidRPr="0074648D">
        <w:rPr>
          <w:rFonts w:ascii="Arial" w:eastAsia="Times New Roman" w:hAnsi="Arial" w:cs="Arial"/>
          <w:b w:val="0"/>
          <w:bCs w:val="0"/>
          <w:i/>
          <w:iCs/>
          <w:color w:val="auto"/>
          <w:kern w:val="0"/>
          <w:sz w:val="24"/>
          <w:szCs w:val="24"/>
          <w:lang w:val="en-US" w:eastAsia="de-DE"/>
          <w14:ligatures w14:val="none"/>
        </w:rPr>
        <w:t>Vet Surg.</w:t>
      </w:r>
      <w:r w:rsidRPr="0074648D"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 xml:space="preserve"> 2003 Jul-Aug;32(4):371-7. </w:t>
      </w:r>
      <w:proofErr w:type="spellStart"/>
      <w:r w:rsidRPr="0074648D"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doi</w:t>
      </w:r>
      <w:proofErr w:type="spellEnd"/>
      <w:r w:rsidRPr="0074648D">
        <w:rPr>
          <w:rFonts w:ascii="Arial" w:eastAsia="Times New Roman" w:hAnsi="Arial" w:cs="Arial"/>
          <w:b w:val="0"/>
          <w:bCs w:val="0"/>
          <w:color w:val="auto"/>
          <w:kern w:val="0"/>
          <w:sz w:val="24"/>
          <w:szCs w:val="24"/>
          <w:lang w:val="en-US" w:eastAsia="de-DE"/>
          <w14:ligatures w14:val="none"/>
        </w:rPr>
        <w:t>: 10.1053/jvet.2003.50038.</w:t>
      </w:r>
    </w:p>
    <w:p w14:paraId="6238C02C" w14:textId="121F7567" w:rsidR="00E96FF7" w:rsidRPr="00E96FF7" w:rsidRDefault="00E96FF7" w:rsidP="00B42827">
      <w:pPr>
        <w:spacing w:after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sectPr w:rsidR="00E96FF7" w:rsidRPr="00E96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B4B42" w14:textId="77777777" w:rsidR="00A32229" w:rsidRDefault="00A32229" w:rsidP="00135E2F">
      <w:pPr>
        <w:spacing w:after="0"/>
      </w:pPr>
      <w:r>
        <w:separator/>
      </w:r>
    </w:p>
  </w:endnote>
  <w:endnote w:type="continuationSeparator" w:id="0">
    <w:p w14:paraId="719C23A4" w14:textId="77777777" w:rsidR="00A32229" w:rsidRDefault="00A32229" w:rsidP="00135E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BC821" w14:textId="77777777" w:rsidR="00A32229" w:rsidRDefault="00A32229" w:rsidP="00135E2F">
      <w:pPr>
        <w:spacing w:after="0"/>
      </w:pPr>
      <w:r>
        <w:separator/>
      </w:r>
    </w:p>
  </w:footnote>
  <w:footnote w:type="continuationSeparator" w:id="0">
    <w:p w14:paraId="39F65452" w14:textId="77777777" w:rsidR="00A32229" w:rsidRDefault="00A32229" w:rsidP="00135E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17E48"/>
    <w:multiLevelType w:val="hybridMultilevel"/>
    <w:tmpl w:val="EFD8B02A"/>
    <w:lvl w:ilvl="0" w:tplc="3FC838A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D4292"/>
    <w:multiLevelType w:val="hybridMultilevel"/>
    <w:tmpl w:val="4D926A92"/>
    <w:lvl w:ilvl="0" w:tplc="18F4B1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213BD"/>
    <w:multiLevelType w:val="hybridMultilevel"/>
    <w:tmpl w:val="056EA820"/>
    <w:lvl w:ilvl="0" w:tplc="20E8B6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251D0"/>
    <w:multiLevelType w:val="hybridMultilevel"/>
    <w:tmpl w:val="FE4A09D0"/>
    <w:lvl w:ilvl="0" w:tplc="AAF86F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0E87"/>
    <w:multiLevelType w:val="hybridMultilevel"/>
    <w:tmpl w:val="82BAA128"/>
    <w:lvl w:ilvl="0" w:tplc="1152C6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90061">
    <w:abstractNumId w:val="2"/>
  </w:num>
  <w:num w:numId="2" w16cid:durableId="2021397114">
    <w:abstractNumId w:val="1"/>
  </w:num>
  <w:num w:numId="3" w16cid:durableId="494955651">
    <w:abstractNumId w:val="0"/>
  </w:num>
  <w:num w:numId="4" w16cid:durableId="982589008">
    <w:abstractNumId w:val="4"/>
  </w:num>
  <w:num w:numId="5" w16cid:durableId="601498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93"/>
    <w:rsid w:val="00035A0B"/>
    <w:rsid w:val="00056026"/>
    <w:rsid w:val="00070115"/>
    <w:rsid w:val="000B722A"/>
    <w:rsid w:val="00135E2F"/>
    <w:rsid w:val="00153AC9"/>
    <w:rsid w:val="00154F1D"/>
    <w:rsid w:val="001C70E4"/>
    <w:rsid w:val="00264693"/>
    <w:rsid w:val="00274C8A"/>
    <w:rsid w:val="00313D19"/>
    <w:rsid w:val="003210FD"/>
    <w:rsid w:val="00334EB9"/>
    <w:rsid w:val="003B2BD1"/>
    <w:rsid w:val="003F48C9"/>
    <w:rsid w:val="004E448B"/>
    <w:rsid w:val="005226FE"/>
    <w:rsid w:val="00540FC3"/>
    <w:rsid w:val="00543A97"/>
    <w:rsid w:val="005535F8"/>
    <w:rsid w:val="00581ADC"/>
    <w:rsid w:val="005A79AF"/>
    <w:rsid w:val="005C6ED1"/>
    <w:rsid w:val="005E0EE2"/>
    <w:rsid w:val="006252C4"/>
    <w:rsid w:val="006C4FA5"/>
    <w:rsid w:val="006E6A3B"/>
    <w:rsid w:val="0074648D"/>
    <w:rsid w:val="00754EE1"/>
    <w:rsid w:val="007B6B19"/>
    <w:rsid w:val="00820AB7"/>
    <w:rsid w:val="008254BB"/>
    <w:rsid w:val="00846787"/>
    <w:rsid w:val="009542FB"/>
    <w:rsid w:val="009713DD"/>
    <w:rsid w:val="009A451C"/>
    <w:rsid w:val="009D76FB"/>
    <w:rsid w:val="00A32229"/>
    <w:rsid w:val="00AD4C78"/>
    <w:rsid w:val="00AE32A6"/>
    <w:rsid w:val="00AF0299"/>
    <w:rsid w:val="00AF2852"/>
    <w:rsid w:val="00B25916"/>
    <w:rsid w:val="00B302E7"/>
    <w:rsid w:val="00B42827"/>
    <w:rsid w:val="00B6397C"/>
    <w:rsid w:val="00B77321"/>
    <w:rsid w:val="00D055DE"/>
    <w:rsid w:val="00D544AC"/>
    <w:rsid w:val="00D77073"/>
    <w:rsid w:val="00D92B2A"/>
    <w:rsid w:val="00D94096"/>
    <w:rsid w:val="00D944D1"/>
    <w:rsid w:val="00DC79A1"/>
    <w:rsid w:val="00E046C1"/>
    <w:rsid w:val="00E3720F"/>
    <w:rsid w:val="00E43BCC"/>
    <w:rsid w:val="00E6378A"/>
    <w:rsid w:val="00E63F60"/>
    <w:rsid w:val="00E96FF7"/>
    <w:rsid w:val="00EC614B"/>
    <w:rsid w:val="00ED59A4"/>
    <w:rsid w:val="00F45352"/>
    <w:rsid w:val="00F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DCD0"/>
  <w15:chartTrackingRefBased/>
  <w15:docId w15:val="{2DD00196-457E-7347-AB3D-6980C462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bCs/>
        <w:color w:val="000000" w:themeColor="text1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4693"/>
    <w:rPr>
      <w:rFonts w:ascii="Avenir Next" w:hAnsi="Avenir Next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C6ED1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6ED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Text"/>
    <w:uiPriority w:val="1"/>
    <w:qFormat/>
    <w:rsid w:val="00274C8A"/>
    <w:pPr>
      <w:spacing w:before="240" w:after="240"/>
      <w:jc w:val="both"/>
    </w:pPr>
    <w:rPr>
      <w:rFonts w:ascii="Times" w:hAnsi="Time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6ED1"/>
    <w:rPr>
      <w:rFonts w:ascii="Avenir Next" w:eastAsiaTheme="majorEastAsia" w:hAnsi="Avenir Next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6ED1"/>
    <w:rPr>
      <w:rFonts w:ascii="Avenir Next" w:eastAsiaTheme="majorEastAsia" w:hAnsi="Avenir Next" w:cstheme="majorBidi"/>
      <w:szCs w:val="26"/>
    </w:rPr>
  </w:style>
  <w:style w:type="paragraph" w:styleId="Listenabsatz">
    <w:name w:val="List Paragraph"/>
    <w:basedOn w:val="Standard"/>
    <w:uiPriority w:val="34"/>
    <w:qFormat/>
    <w:rsid w:val="0026469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35E2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5E2F"/>
    <w:rPr>
      <w:rFonts w:ascii="Avenir Next" w:hAnsi="Avenir Nex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35E2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74648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648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43A97"/>
    <w:pPr>
      <w:spacing w:after="0"/>
    </w:pPr>
    <w:rPr>
      <w:rFonts w:ascii="Avenir Next" w:hAnsi="Avenir Next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3A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3A9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3A97"/>
    <w:rPr>
      <w:rFonts w:ascii="Avenir Next" w:hAnsi="Avenir Nex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3A97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3A97"/>
    <w:rPr>
      <w:rFonts w:ascii="Avenir Next" w:hAnsi="Avenir Nex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Whe</b:Tag>
    <b:SourceType>Book</b:SourceType>
    <b:Guid>{971726CA-4D57-E143-8A55-3DDFC33D9415}</b:Guid>
    <b:Author>
      <b:Author>
        <b:NameList>
          <b:Person>
            <b:Last>2003</b:Last>
            <b:First>Wheeler</b:First>
            <b:Middle>et al.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7A5476C0-BDA0-4F4D-B461-6B183509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Dürr, Bars Michael</dc:creator>
  <cp:keywords/>
  <dc:description/>
  <cp:lastModifiedBy>Dürr, Bars Michael</cp:lastModifiedBy>
  <cp:revision>8</cp:revision>
  <dcterms:created xsi:type="dcterms:W3CDTF">2025-10-29T20:47:00Z</dcterms:created>
  <dcterms:modified xsi:type="dcterms:W3CDTF">2025-10-31T18:27:00Z</dcterms:modified>
</cp:coreProperties>
</file>