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3" w14:textId="77777777" w:rsidR="00BB3294" w:rsidRPr="007B43C9" w:rsidRDefault="00000000">
      <w:pPr>
        <w:rPr>
          <w:sz w:val="24"/>
          <w:szCs w:val="24"/>
        </w:rPr>
      </w:pPr>
      <w:r w:rsidRPr="007B43C9">
        <w:rPr>
          <w:b/>
          <w:sz w:val="24"/>
          <w:szCs w:val="24"/>
        </w:rPr>
        <w:t>Objective:</w:t>
      </w:r>
      <w:r w:rsidRPr="007B43C9">
        <w:rPr>
          <w:sz w:val="24"/>
          <w:szCs w:val="24"/>
        </w:rPr>
        <w:t xml:space="preserve"> Undersized femoral implants for total hip replacement (THR) have been associated with adverse outcomes, including implant instability, suboptimal biomechanics, and implant failure (1). Templating helps guide size choice to ensure optimal implant fit, long-term durability, and improved patient outcomes (2, 3). Inaccuracies in templating may be influenced by radiographic (magnification, positioning) factors and femoral morphology and pathology (greater trochanter position, proximal bone density, canal flare index). Our objective was to retrospectively evaluate the accuracy of pre-operative templating in THR by comparing digitally planned </w:t>
      </w:r>
      <w:proofErr w:type="spellStart"/>
      <w:r w:rsidRPr="007B43C9">
        <w:rPr>
          <w:sz w:val="24"/>
          <w:szCs w:val="24"/>
        </w:rPr>
        <w:t>Biomedtrix</w:t>
      </w:r>
      <w:proofErr w:type="spellEnd"/>
      <w:r w:rsidRPr="007B43C9">
        <w:rPr>
          <w:sz w:val="24"/>
          <w:szCs w:val="24"/>
        </w:rPr>
        <w:t xml:space="preserve"> femoral stem size with the actual implanted component using radiographic overlays in </w:t>
      </w:r>
      <w:proofErr w:type="spellStart"/>
      <w:r w:rsidRPr="007B43C9">
        <w:rPr>
          <w:sz w:val="24"/>
          <w:szCs w:val="24"/>
        </w:rPr>
        <w:t>vPOP</w:t>
      </w:r>
      <w:proofErr w:type="spellEnd"/>
      <w:r w:rsidRPr="007B43C9">
        <w:rPr>
          <w:sz w:val="24"/>
          <w:szCs w:val="24"/>
        </w:rPr>
        <w:t xml:space="preserve"> software. We hypothesized that femoral morphology variation would be associated with differences between templated and implanted stem sizes.</w:t>
      </w:r>
    </w:p>
    <w:p w14:paraId="00000004" w14:textId="77777777" w:rsidR="00BB3294" w:rsidRPr="007B43C9" w:rsidRDefault="00BB3294">
      <w:pPr>
        <w:rPr>
          <w:sz w:val="24"/>
          <w:szCs w:val="24"/>
        </w:rPr>
      </w:pPr>
    </w:p>
    <w:p w14:paraId="00000005" w14:textId="77777777" w:rsidR="00BB3294" w:rsidRPr="007B43C9" w:rsidRDefault="00000000">
      <w:pPr>
        <w:rPr>
          <w:sz w:val="24"/>
          <w:szCs w:val="24"/>
        </w:rPr>
      </w:pPr>
      <w:r w:rsidRPr="007B43C9">
        <w:rPr>
          <w:b/>
          <w:sz w:val="24"/>
          <w:szCs w:val="24"/>
        </w:rPr>
        <w:t>Study design:</w:t>
      </w:r>
      <w:r w:rsidRPr="007B43C9">
        <w:rPr>
          <w:sz w:val="24"/>
          <w:szCs w:val="24"/>
        </w:rPr>
        <w:t xml:space="preserve"> An evaluation of patients that underwent THR using the </w:t>
      </w:r>
      <w:proofErr w:type="spellStart"/>
      <w:r w:rsidRPr="007B43C9">
        <w:rPr>
          <w:sz w:val="24"/>
          <w:szCs w:val="24"/>
        </w:rPr>
        <w:t>Biomedtrix</w:t>
      </w:r>
      <w:proofErr w:type="spellEnd"/>
      <w:r w:rsidRPr="007B43C9">
        <w:rPr>
          <w:sz w:val="24"/>
          <w:szCs w:val="24"/>
        </w:rPr>
        <w:t xml:space="preserve"> BFX system for hip dysplasia at a university veterinary teaching hospital from 2019-2024 was performed. Data was collected including signalment, weight, stem size and type, and complications. Pre-operative radiographic measurements were obtained including proximal bone density grade, canal flare, greater trochanter (GT) morphology, and femoral </w:t>
      </w:r>
      <w:proofErr w:type="spellStart"/>
      <w:r w:rsidRPr="007B43C9">
        <w:rPr>
          <w:sz w:val="24"/>
          <w:szCs w:val="24"/>
        </w:rPr>
        <w:t>procurvatum</w:t>
      </w:r>
      <w:proofErr w:type="spellEnd"/>
      <w:r w:rsidRPr="007B43C9">
        <w:rPr>
          <w:sz w:val="24"/>
          <w:szCs w:val="24"/>
        </w:rPr>
        <w:t xml:space="preserve"> (4, 5). Pre-operative templating was performed by a single experienced surgeon and the size recorded. The stem size implanted was recorded. Post-operative radiographs were evaluated for femoral fissures, canal fill, and stem orientation. Stem mismatch </w:t>
      </w:r>
      <w:proofErr w:type="gramStart"/>
      <w:r w:rsidRPr="007B43C9">
        <w:rPr>
          <w:sz w:val="24"/>
          <w:szCs w:val="24"/>
        </w:rPr>
        <w:t>was compared</w:t>
      </w:r>
      <w:proofErr w:type="gramEnd"/>
      <w:r w:rsidRPr="007B43C9">
        <w:rPr>
          <w:sz w:val="24"/>
          <w:szCs w:val="24"/>
        </w:rPr>
        <w:t xml:space="preserve"> based on the template size in relation to the implant. Femur length was assessed pre- and post-operatively to account for radiographic positioning differences. Bland-Altman analysis was performed to explore agreement between the actual implant size and templated size. A t-test was performed to assess association between GT morphology and stem orientation angle.</w:t>
      </w:r>
    </w:p>
    <w:p w14:paraId="00000006" w14:textId="77777777" w:rsidR="00BB3294" w:rsidRPr="007B43C9" w:rsidRDefault="00BB3294">
      <w:pPr>
        <w:rPr>
          <w:sz w:val="24"/>
          <w:szCs w:val="24"/>
        </w:rPr>
      </w:pPr>
    </w:p>
    <w:p w14:paraId="00000007" w14:textId="40E8E98A" w:rsidR="00BB3294" w:rsidRPr="007B43C9" w:rsidRDefault="00000000">
      <w:pPr>
        <w:rPr>
          <w:sz w:val="24"/>
          <w:szCs w:val="24"/>
        </w:rPr>
      </w:pPr>
      <w:r w:rsidRPr="007B43C9">
        <w:rPr>
          <w:b/>
          <w:sz w:val="24"/>
          <w:szCs w:val="24"/>
        </w:rPr>
        <w:t>Results:</w:t>
      </w:r>
      <w:r w:rsidRPr="007B43C9">
        <w:rPr>
          <w:sz w:val="24"/>
          <w:szCs w:val="24"/>
        </w:rPr>
        <w:t xml:space="preserve"> Forty-three hips in forty dogs met inclusion criteria. Median canal flare was 1.88 (IQR 1.67-2.1). Proximal bone density was classified as normal (n=2), mild (n=26), moderate (n=13), and severe (n=2). GT morphology: grade 1 (n=7), grade 2 (n=22), grade 3 (n=14), and grade 4 (n=0). Median femoral </w:t>
      </w:r>
      <w:proofErr w:type="spellStart"/>
      <w:r w:rsidRPr="007B43C9">
        <w:rPr>
          <w:sz w:val="24"/>
          <w:szCs w:val="24"/>
        </w:rPr>
        <w:t>procurvatum</w:t>
      </w:r>
      <w:proofErr w:type="spellEnd"/>
      <w:r w:rsidRPr="007B43C9">
        <w:rPr>
          <w:sz w:val="24"/>
          <w:szCs w:val="24"/>
        </w:rPr>
        <w:t xml:space="preserve"> was 91 degrees (IQR 84.6-94.8). Median radiographic femur length pre-operatively was 194.4 mm (IQR 162.9-207.7) and post-operatively was 193.9 mm (IQR 168.9-204.3). Post-op overall canal fill was 75% (IQR 70.9%-79.7%) and canal </w:t>
      </w:r>
      <w:proofErr w:type="gramStart"/>
      <w:r w:rsidRPr="007B43C9">
        <w:rPr>
          <w:sz w:val="24"/>
          <w:szCs w:val="24"/>
        </w:rPr>
        <w:t>fill</w:t>
      </w:r>
      <w:proofErr w:type="gramEnd"/>
      <w:r w:rsidRPr="007B43C9">
        <w:rPr>
          <w:sz w:val="24"/>
          <w:szCs w:val="24"/>
        </w:rPr>
        <w:t xml:space="preserve"> at the lesser trochanter was 70% (IQR 64.6-75.8). Median degree of prosthesis version was 17.7 degrees (IQR 12.4-22.2). Median stem/template ratio was 91.64% (IQR 86.7-95.2). Stem mismatches were 0 (n=31), </w:t>
      </w:r>
      <w:r w:rsidR="00A45A90" w:rsidRPr="007B43C9">
        <w:rPr>
          <w:sz w:val="24"/>
          <w:szCs w:val="24"/>
        </w:rPr>
        <w:t>-</w:t>
      </w:r>
      <w:r w:rsidRPr="007B43C9">
        <w:rPr>
          <w:sz w:val="24"/>
          <w:szCs w:val="24"/>
        </w:rPr>
        <w:t xml:space="preserve">1 (n=11), and </w:t>
      </w:r>
      <w:r w:rsidR="00A45A90" w:rsidRPr="007B43C9">
        <w:rPr>
          <w:sz w:val="24"/>
          <w:szCs w:val="24"/>
        </w:rPr>
        <w:t>+</w:t>
      </w:r>
      <w:r w:rsidRPr="007B43C9">
        <w:rPr>
          <w:sz w:val="24"/>
          <w:szCs w:val="24"/>
        </w:rPr>
        <w:t xml:space="preserve">1 (n=1) (Table 2). Median femur length with stem mismatches pre-operatively was 194.8 mm (IQR 174.4-207.4) and post-operatively was 187.9 mm (178.1-206.1). Bland-Altman analysis indicated that actual implants used were generally larger than templated stems (Table 1). Mean bias was +2.98% (95% CI: +1.07% to +4.93%), indicating a statistically significant positive bias. When proximal bone density </w:t>
      </w:r>
      <w:r w:rsidRPr="007B43C9">
        <w:rPr>
          <w:sz w:val="24"/>
          <w:szCs w:val="24"/>
        </w:rPr>
        <w:lastRenderedPageBreak/>
        <w:t xml:space="preserve">was evaluated, the average canal </w:t>
      </w:r>
      <w:proofErr w:type="gramStart"/>
      <w:r w:rsidRPr="007B43C9">
        <w:rPr>
          <w:sz w:val="24"/>
          <w:szCs w:val="24"/>
        </w:rPr>
        <w:t>fill</w:t>
      </w:r>
      <w:proofErr w:type="gramEnd"/>
      <w:r w:rsidRPr="007B43C9">
        <w:rPr>
          <w:sz w:val="24"/>
          <w:szCs w:val="24"/>
        </w:rPr>
        <w:t xml:space="preserve"> for the normal, mild, and moderate groups combined was 75%, whereas the two severe bone density cases demonstrated an average canal fill of 68%, suggesting smaller stems in severely </w:t>
      </w:r>
      <w:proofErr w:type="spellStart"/>
      <w:r w:rsidRPr="007B43C9">
        <w:rPr>
          <w:sz w:val="24"/>
          <w:szCs w:val="24"/>
        </w:rPr>
        <w:t>osteopenic</w:t>
      </w:r>
      <w:proofErr w:type="spellEnd"/>
      <w:r w:rsidRPr="007B43C9">
        <w:rPr>
          <w:sz w:val="24"/>
          <w:szCs w:val="24"/>
        </w:rPr>
        <w:t xml:space="preserve"> bone. However, due to the limited number of severe cases, no statistics were performed. Mean stem orientation angle was 3.1 ± 1.6° in GT3 cases and 2.7 ± 1.7° in GT1 and 2 cases, indicating no meaningful difference in stem alignment between GT positions.</w:t>
      </w:r>
    </w:p>
    <w:p w14:paraId="00000008" w14:textId="77777777" w:rsidR="00BB3294" w:rsidRPr="007B43C9" w:rsidRDefault="00BB3294">
      <w:pPr>
        <w:rPr>
          <w:sz w:val="24"/>
          <w:szCs w:val="24"/>
        </w:rPr>
      </w:pPr>
    </w:p>
    <w:p w14:paraId="00000009" w14:textId="77777777" w:rsidR="00BB3294" w:rsidRPr="007B43C9" w:rsidRDefault="00000000">
      <w:pPr>
        <w:rPr>
          <w:sz w:val="24"/>
          <w:szCs w:val="24"/>
        </w:rPr>
      </w:pPr>
      <w:r w:rsidRPr="007B43C9">
        <w:rPr>
          <w:b/>
          <w:sz w:val="24"/>
          <w:szCs w:val="24"/>
        </w:rPr>
        <w:t>Discussion:</w:t>
      </w:r>
      <w:r w:rsidRPr="007B43C9">
        <w:rPr>
          <w:sz w:val="24"/>
          <w:szCs w:val="24"/>
        </w:rPr>
        <w:t xml:space="preserve"> Our hypothesis was accepted that template/stem mismatches are common. GT morphology did not impact the incidence of stem size mismatch, though there were no dogs with grade 4. In our experience, for GT grade 3, broaching may contact the GT, but with preferential rasping and attention to broach orientation, stem size and angle are rarely impacted. Femoral length differences on radiographs can be attributed to inability to properly extend the femur while under sedation pre-operatively as opposed to an anesthetized patient. This could result in altered appearance of the proximal femur on pre-operative radiographs and a smaller template being considered as the proximal third of the femur becomes misshapen and the narrowest endosteal width appears more proximal. The canal fill was lower in the two cases that had severe proximal bone density, but this could not be examined statistically. Limitations to this study include its retrospective nature, multiple individuals performing radiographic measurements, and incomplete medical records in older cases due to use of </w:t>
      </w:r>
      <w:proofErr w:type="gramStart"/>
      <w:r w:rsidRPr="007B43C9">
        <w:rPr>
          <w:sz w:val="24"/>
          <w:szCs w:val="24"/>
        </w:rPr>
        <w:t>a new</w:t>
      </w:r>
      <w:proofErr w:type="gramEnd"/>
      <w:r w:rsidRPr="007B43C9">
        <w:rPr>
          <w:sz w:val="24"/>
          <w:szCs w:val="24"/>
        </w:rPr>
        <w:t xml:space="preserve"> medical records software. In this case series, the implanted stem was one size larger than templated in 37% of cases. The decision to increase size was based on broaching resistance and observed “fill” within the femoral neck. Canal flare and GT morphology did not appear to influence stem sizing decisions in this population.</w:t>
      </w:r>
    </w:p>
    <w:p w14:paraId="0000000A" w14:textId="77777777" w:rsidR="00BB3294" w:rsidRPr="007B43C9" w:rsidRDefault="00BB3294">
      <w:pPr>
        <w:rPr>
          <w:sz w:val="24"/>
          <w:szCs w:val="24"/>
        </w:rPr>
      </w:pPr>
    </w:p>
    <w:p w14:paraId="0000000B" w14:textId="77777777" w:rsidR="00BB3294" w:rsidRPr="007B43C9" w:rsidRDefault="00000000">
      <w:pPr>
        <w:rPr>
          <w:sz w:val="24"/>
          <w:szCs w:val="24"/>
        </w:rPr>
      </w:pPr>
      <w:r w:rsidRPr="007B43C9">
        <w:rPr>
          <w:b/>
          <w:sz w:val="24"/>
          <w:szCs w:val="24"/>
        </w:rPr>
        <w:t>Acknowledgments:</w:t>
      </w:r>
      <w:r w:rsidRPr="007B43C9">
        <w:rPr>
          <w:sz w:val="24"/>
          <w:szCs w:val="24"/>
        </w:rPr>
        <w:t xml:space="preserve"> There was no proprietary interest or funding for this project.</w:t>
      </w:r>
    </w:p>
    <w:p w14:paraId="0000000C" w14:textId="77777777" w:rsidR="00BB3294" w:rsidRPr="007B43C9" w:rsidRDefault="00BB3294">
      <w:pPr>
        <w:rPr>
          <w:sz w:val="24"/>
          <w:szCs w:val="24"/>
        </w:rPr>
      </w:pPr>
    </w:p>
    <w:p w14:paraId="0000000D" w14:textId="77777777" w:rsidR="00BB3294" w:rsidRPr="007B43C9" w:rsidRDefault="00000000">
      <w:pPr>
        <w:rPr>
          <w:b/>
          <w:sz w:val="24"/>
          <w:szCs w:val="24"/>
        </w:rPr>
      </w:pPr>
      <w:r w:rsidRPr="007B43C9">
        <w:rPr>
          <w:b/>
          <w:sz w:val="24"/>
          <w:szCs w:val="24"/>
        </w:rPr>
        <w:t>References:</w:t>
      </w:r>
    </w:p>
    <w:p w14:paraId="0000000E" w14:textId="77777777" w:rsidR="00BB3294" w:rsidRPr="007B43C9" w:rsidRDefault="00000000">
      <w:pPr>
        <w:numPr>
          <w:ilvl w:val="0"/>
          <w:numId w:val="1"/>
        </w:numPr>
        <w:spacing w:after="160" w:line="360" w:lineRule="auto"/>
        <w:rPr>
          <w:sz w:val="24"/>
          <w:szCs w:val="24"/>
        </w:rPr>
      </w:pPr>
      <w:r w:rsidRPr="007B43C9">
        <w:rPr>
          <w:sz w:val="24"/>
          <w:szCs w:val="24"/>
        </w:rPr>
        <w:t>Carvajal JL, et al. (2025). Breakage of cementless press-fit femoral stems following total hip arthroplasty in dogs: 14 cases (2013–2023). Veterinary Surgery, 54(3), 561–572. doi:10.1111/vsu.14227</w:t>
      </w:r>
    </w:p>
    <w:p w14:paraId="0000000F" w14:textId="77777777" w:rsidR="00BB3294" w:rsidRPr="007B43C9" w:rsidRDefault="00000000">
      <w:pPr>
        <w:numPr>
          <w:ilvl w:val="0"/>
          <w:numId w:val="1"/>
        </w:numPr>
        <w:spacing w:after="160" w:line="360" w:lineRule="auto"/>
        <w:rPr>
          <w:sz w:val="24"/>
          <w:szCs w:val="24"/>
          <w:highlight w:val="white"/>
        </w:rPr>
      </w:pPr>
      <w:r w:rsidRPr="007B43C9">
        <w:rPr>
          <w:sz w:val="24"/>
          <w:szCs w:val="24"/>
          <w:highlight w:val="white"/>
        </w:rPr>
        <w:t xml:space="preserve">​​Holzer, L. A., Scholler, G., Wagner, S., </w:t>
      </w:r>
      <w:proofErr w:type="spellStart"/>
      <w:r w:rsidRPr="007B43C9">
        <w:rPr>
          <w:sz w:val="24"/>
          <w:szCs w:val="24"/>
          <w:highlight w:val="white"/>
        </w:rPr>
        <w:t>Friesenbichler</w:t>
      </w:r>
      <w:proofErr w:type="spellEnd"/>
      <w:r w:rsidRPr="007B43C9">
        <w:rPr>
          <w:sz w:val="24"/>
          <w:szCs w:val="24"/>
          <w:highlight w:val="white"/>
        </w:rPr>
        <w:t xml:space="preserve">, J., Maurer-Ertl, W., &amp; Leithner, A. (2019). The accuracy of digital templating in uncemented total hip arthroplasty. </w:t>
      </w:r>
      <w:r w:rsidRPr="007B43C9">
        <w:rPr>
          <w:i/>
          <w:sz w:val="24"/>
          <w:szCs w:val="24"/>
          <w:highlight w:val="white"/>
        </w:rPr>
        <w:t xml:space="preserve">Archives of </w:t>
      </w:r>
      <w:proofErr w:type="spellStart"/>
      <w:r w:rsidRPr="007B43C9">
        <w:rPr>
          <w:i/>
          <w:sz w:val="24"/>
          <w:szCs w:val="24"/>
          <w:highlight w:val="white"/>
        </w:rPr>
        <w:t>Orthopaedic</w:t>
      </w:r>
      <w:proofErr w:type="spellEnd"/>
      <w:r w:rsidRPr="007B43C9">
        <w:rPr>
          <w:i/>
          <w:sz w:val="24"/>
          <w:szCs w:val="24"/>
          <w:highlight w:val="white"/>
        </w:rPr>
        <w:t xml:space="preserve"> and Trauma Surgery</w:t>
      </w:r>
      <w:r w:rsidRPr="007B43C9">
        <w:rPr>
          <w:sz w:val="24"/>
          <w:szCs w:val="24"/>
          <w:highlight w:val="white"/>
        </w:rPr>
        <w:t xml:space="preserve">, </w:t>
      </w:r>
      <w:r w:rsidRPr="007B43C9">
        <w:rPr>
          <w:i/>
          <w:sz w:val="24"/>
          <w:szCs w:val="24"/>
          <w:highlight w:val="white"/>
        </w:rPr>
        <w:t>139</w:t>
      </w:r>
      <w:r w:rsidRPr="007B43C9">
        <w:rPr>
          <w:sz w:val="24"/>
          <w:szCs w:val="24"/>
          <w:highlight w:val="white"/>
        </w:rPr>
        <w:t>(2), 263–268.</w:t>
      </w:r>
      <w:hyperlink r:id="rId6">
        <w:r w:rsidR="00BB3294" w:rsidRPr="007B43C9">
          <w:rPr>
            <w:sz w:val="24"/>
            <w:szCs w:val="24"/>
            <w:highlight w:val="white"/>
          </w:rPr>
          <w:t xml:space="preserve"> https://doi.org/10.1007/s00402-018-3080-0</w:t>
        </w:r>
      </w:hyperlink>
      <w:r w:rsidRPr="007B43C9">
        <w:rPr>
          <w:sz w:val="24"/>
          <w:szCs w:val="24"/>
          <w:highlight w:val="white"/>
        </w:rPr>
        <w:t xml:space="preserve"> </w:t>
      </w:r>
    </w:p>
    <w:p w14:paraId="00000010" w14:textId="77777777" w:rsidR="00BB3294" w:rsidRPr="007B43C9" w:rsidRDefault="00000000">
      <w:pPr>
        <w:numPr>
          <w:ilvl w:val="0"/>
          <w:numId w:val="1"/>
        </w:numPr>
        <w:spacing w:after="160" w:line="360" w:lineRule="auto"/>
        <w:rPr>
          <w:sz w:val="24"/>
          <w:szCs w:val="24"/>
          <w:highlight w:val="white"/>
        </w:rPr>
      </w:pPr>
      <w:r w:rsidRPr="007B43C9">
        <w:rPr>
          <w:color w:val="1B1B1B"/>
          <w:sz w:val="24"/>
          <w:szCs w:val="24"/>
          <w:highlight w:val="white"/>
        </w:rPr>
        <w:lastRenderedPageBreak/>
        <w:t xml:space="preserve">​Colombi, A., Schena, D., &amp; Castelli, C. C. (2019). Total hip arthroplasty planning. </w:t>
      </w:r>
      <w:r w:rsidRPr="007B43C9">
        <w:rPr>
          <w:i/>
          <w:color w:val="1B1B1B"/>
          <w:sz w:val="24"/>
          <w:szCs w:val="24"/>
          <w:highlight w:val="white"/>
        </w:rPr>
        <w:t>EFORT Open Reviews</w:t>
      </w:r>
      <w:r w:rsidRPr="007B43C9">
        <w:rPr>
          <w:color w:val="1B1B1B"/>
          <w:sz w:val="24"/>
          <w:szCs w:val="24"/>
          <w:highlight w:val="white"/>
        </w:rPr>
        <w:t xml:space="preserve">, </w:t>
      </w:r>
      <w:r w:rsidRPr="007B43C9">
        <w:rPr>
          <w:i/>
          <w:color w:val="1B1B1B"/>
          <w:sz w:val="24"/>
          <w:szCs w:val="24"/>
          <w:highlight w:val="white"/>
        </w:rPr>
        <w:t>4</w:t>
      </w:r>
      <w:r w:rsidRPr="007B43C9">
        <w:rPr>
          <w:color w:val="1B1B1B"/>
          <w:sz w:val="24"/>
          <w:szCs w:val="24"/>
          <w:highlight w:val="white"/>
        </w:rPr>
        <w:t>(11), 626–632.</w:t>
      </w:r>
      <w:hyperlink r:id="rId7">
        <w:r w:rsidR="00BB3294" w:rsidRPr="007B43C9">
          <w:rPr>
            <w:color w:val="1B1B1B"/>
            <w:sz w:val="24"/>
            <w:szCs w:val="24"/>
            <w:highlight w:val="white"/>
          </w:rPr>
          <w:t xml:space="preserve"> https://doi.or</w:t>
        </w:r>
      </w:hyperlink>
      <w:hyperlink r:id="rId8">
        <w:r w:rsidR="00BB3294" w:rsidRPr="007B43C9">
          <w:rPr>
            <w:rFonts w:eastAsia="Times New Roman"/>
            <w:color w:val="1B1B1B"/>
            <w:sz w:val="24"/>
            <w:szCs w:val="24"/>
            <w:highlight w:val="white"/>
          </w:rPr>
          <w:t>g/10.1302/2058-5241.4.180075</w:t>
        </w:r>
      </w:hyperlink>
    </w:p>
    <w:p w14:paraId="00000011" w14:textId="77777777" w:rsidR="00BB3294" w:rsidRPr="007B43C9" w:rsidRDefault="00000000">
      <w:pPr>
        <w:numPr>
          <w:ilvl w:val="0"/>
          <w:numId w:val="1"/>
        </w:numPr>
        <w:spacing w:after="160" w:line="360" w:lineRule="auto"/>
        <w:rPr>
          <w:sz w:val="24"/>
          <w:szCs w:val="24"/>
        </w:rPr>
      </w:pPr>
      <w:r w:rsidRPr="007B43C9">
        <w:rPr>
          <w:sz w:val="24"/>
          <w:szCs w:val="24"/>
          <w:highlight w:val="white"/>
        </w:rPr>
        <w:t xml:space="preserve">​​Silveira, C. J., Barnes, K. H., Kerwin, S. C., &amp; Saunders, W. B. (2022). Greater trochanter morphology and association with patient demographics, surgical factors, and post-operative stem position: a retrospective assessment of 150 cementless THRs in 135 dogs. </w:t>
      </w:r>
      <w:r w:rsidRPr="007B43C9">
        <w:rPr>
          <w:i/>
          <w:sz w:val="24"/>
          <w:szCs w:val="24"/>
          <w:highlight w:val="white"/>
        </w:rPr>
        <w:t>BMC Veterinary Research</w:t>
      </w:r>
      <w:r w:rsidRPr="007B43C9">
        <w:rPr>
          <w:sz w:val="24"/>
          <w:szCs w:val="24"/>
          <w:highlight w:val="white"/>
        </w:rPr>
        <w:t xml:space="preserve">, </w:t>
      </w:r>
      <w:r w:rsidRPr="007B43C9">
        <w:rPr>
          <w:i/>
          <w:sz w:val="24"/>
          <w:szCs w:val="24"/>
          <w:highlight w:val="white"/>
        </w:rPr>
        <w:t>18</w:t>
      </w:r>
      <w:r w:rsidRPr="007B43C9">
        <w:rPr>
          <w:sz w:val="24"/>
          <w:szCs w:val="24"/>
          <w:highlight w:val="white"/>
        </w:rPr>
        <w:t>(1), 78.</w:t>
      </w:r>
      <w:hyperlink r:id="rId9">
        <w:r w:rsidR="00BB3294" w:rsidRPr="007B43C9">
          <w:rPr>
            <w:sz w:val="24"/>
            <w:szCs w:val="24"/>
            <w:highlight w:val="white"/>
          </w:rPr>
          <w:t xml:space="preserve"> https://doi.org/10.1186/s12917-022-03174-y</w:t>
        </w:r>
      </w:hyperlink>
      <w:r w:rsidRPr="007B43C9">
        <w:rPr>
          <w:sz w:val="24"/>
          <w:szCs w:val="24"/>
          <w:highlight w:val="white"/>
        </w:rPr>
        <w:t xml:space="preserve"> </w:t>
      </w:r>
    </w:p>
    <w:p w14:paraId="00000012" w14:textId="77777777" w:rsidR="00BB3294" w:rsidRPr="007B43C9" w:rsidRDefault="00000000">
      <w:pPr>
        <w:numPr>
          <w:ilvl w:val="0"/>
          <w:numId w:val="1"/>
        </w:numPr>
        <w:spacing w:after="160" w:line="360" w:lineRule="auto"/>
        <w:rPr>
          <w:sz w:val="24"/>
          <w:szCs w:val="24"/>
          <w:highlight w:val="white"/>
        </w:rPr>
      </w:pPr>
      <w:r w:rsidRPr="007B43C9">
        <w:rPr>
          <w:color w:val="1B1B1B"/>
          <w:sz w:val="24"/>
          <w:szCs w:val="24"/>
          <w:highlight w:val="white"/>
        </w:rPr>
        <w:t xml:space="preserve">Kim S.E. &amp; Lewis D.D., 2014, ‘Corrective osteotomy for </w:t>
      </w:r>
      <w:proofErr w:type="spellStart"/>
      <w:r w:rsidRPr="007B43C9">
        <w:rPr>
          <w:color w:val="1B1B1B"/>
          <w:sz w:val="24"/>
          <w:szCs w:val="24"/>
          <w:highlight w:val="white"/>
        </w:rPr>
        <w:t>procurvatum</w:t>
      </w:r>
      <w:proofErr w:type="spellEnd"/>
      <w:r w:rsidRPr="007B43C9">
        <w:rPr>
          <w:color w:val="1B1B1B"/>
          <w:sz w:val="24"/>
          <w:szCs w:val="24"/>
          <w:highlight w:val="white"/>
        </w:rPr>
        <w:t xml:space="preserve"> deformity caused by distal femoral physeal fracture malunion stabilized with String-of-Pearls locking plates: Results in two dogs and a review of the literature’, </w:t>
      </w:r>
      <w:r w:rsidRPr="007B43C9">
        <w:rPr>
          <w:i/>
          <w:color w:val="1B1B1B"/>
          <w:sz w:val="24"/>
          <w:szCs w:val="24"/>
          <w:highlight w:val="white"/>
        </w:rPr>
        <w:t>Australian Veterinary Journal</w:t>
      </w:r>
      <w:r w:rsidRPr="007B43C9">
        <w:rPr>
          <w:color w:val="1B1B1B"/>
          <w:sz w:val="24"/>
          <w:szCs w:val="24"/>
          <w:highlight w:val="white"/>
        </w:rPr>
        <w:t xml:space="preserve"> 92(3), 75–80.</w:t>
      </w:r>
    </w:p>
    <w:p w14:paraId="00000016" w14:textId="2FD2D5C8" w:rsidR="00BB3294" w:rsidRPr="007B43C9" w:rsidRDefault="00BB3294">
      <w:pPr>
        <w:spacing w:after="160" w:line="360" w:lineRule="auto"/>
        <w:rPr>
          <w:b/>
          <w:sz w:val="24"/>
          <w:szCs w:val="24"/>
          <w:highlight w:val="white"/>
        </w:rPr>
      </w:pPr>
    </w:p>
    <w:p w14:paraId="00000017" w14:textId="77777777" w:rsidR="00BB3294" w:rsidRPr="007B43C9" w:rsidRDefault="00BB3294">
      <w:pPr>
        <w:spacing w:after="160" w:line="360" w:lineRule="auto"/>
        <w:rPr>
          <w:b/>
          <w:sz w:val="24"/>
          <w:szCs w:val="24"/>
          <w:highlight w:val="white"/>
        </w:rPr>
      </w:pPr>
    </w:p>
    <w:p w14:paraId="00000018" w14:textId="77777777" w:rsidR="00BB3294" w:rsidRPr="007B43C9" w:rsidRDefault="00BB3294">
      <w:pPr>
        <w:spacing w:after="160" w:line="360" w:lineRule="auto"/>
        <w:rPr>
          <w:b/>
          <w:sz w:val="24"/>
          <w:szCs w:val="24"/>
          <w:highlight w:val="white"/>
        </w:rPr>
      </w:pPr>
    </w:p>
    <w:p w14:paraId="0000001B" w14:textId="77777777" w:rsidR="00BB3294" w:rsidRPr="007B43C9" w:rsidRDefault="00BB3294">
      <w:pPr>
        <w:widowControl w:val="0"/>
        <w:rPr>
          <w:sz w:val="24"/>
          <w:szCs w:val="24"/>
        </w:rPr>
      </w:pPr>
    </w:p>
    <w:p w14:paraId="00000043" w14:textId="77777777" w:rsidR="00BB3294" w:rsidRDefault="00BB3294">
      <w:pPr>
        <w:spacing w:after="160" w:line="360" w:lineRule="auto"/>
        <w:rPr>
          <w:b/>
          <w:sz w:val="24"/>
          <w:szCs w:val="24"/>
          <w:highlight w:val="white"/>
        </w:rPr>
      </w:pPr>
    </w:p>
    <w:p w14:paraId="00000046" w14:textId="0DCA956B" w:rsidR="00BB3294" w:rsidRDefault="00BB3294">
      <w:pPr>
        <w:spacing w:after="160" w:line="360" w:lineRule="auto"/>
        <w:rPr>
          <w:b/>
          <w:sz w:val="24"/>
          <w:szCs w:val="24"/>
          <w:highlight w:val="white"/>
        </w:rPr>
      </w:pPr>
    </w:p>
    <w:p w14:paraId="00000047" w14:textId="77777777" w:rsidR="00BB3294" w:rsidRDefault="00BB3294">
      <w:pPr>
        <w:spacing w:after="160" w:line="360" w:lineRule="auto"/>
        <w:rPr>
          <w:b/>
          <w:sz w:val="24"/>
          <w:szCs w:val="24"/>
          <w:highlight w:val="white"/>
        </w:rPr>
      </w:pPr>
    </w:p>
    <w:sectPr w:rsidR="00BB329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A20FA8"/>
    <w:multiLevelType w:val="multilevel"/>
    <w:tmpl w:val="CC3EDA8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812118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294"/>
    <w:rsid w:val="002474EA"/>
    <w:rsid w:val="00266503"/>
    <w:rsid w:val="00607159"/>
    <w:rsid w:val="00613D15"/>
    <w:rsid w:val="00773BBD"/>
    <w:rsid w:val="007B43C9"/>
    <w:rsid w:val="00A45A90"/>
    <w:rsid w:val="00A77BBC"/>
    <w:rsid w:val="00BB3294"/>
    <w:rsid w:val="00DE5063"/>
    <w:rsid w:val="00E402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F0F2A"/>
  <w15:docId w15:val="{52AD95B6-1844-BE46-BB01-FBDF3639C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table" w:customStyle="1" w:styleId="TableNormal1">
    <w:name w:val="TableNormal"/>
    <w:tblPr>
      <w:tblCellMar>
        <w:top w:w="100" w:type="dxa"/>
        <w:left w:w="100" w:type="dxa"/>
        <w:bottom w:w="100" w:type="dxa"/>
        <w:right w:w="100" w:type="dxa"/>
      </w:tblCellMar>
    </w:tblPr>
  </w:style>
  <w:style w:type="table" w:customStyle="1" w:styleId="TableNormal2">
    <w:name w:val="TableNormal"/>
    <w:tblPr>
      <w:tblCellMar>
        <w:top w:w="100" w:type="dxa"/>
        <w:left w:w="100" w:type="dxa"/>
        <w:bottom w:w="100" w:type="dxa"/>
        <w:right w:w="100" w:type="dxa"/>
      </w:tblCellMar>
    </w:tblPr>
  </w:style>
  <w:style w:type="table" w:customStyle="1" w:styleId="a">
    <w:basedOn w:val="TableNormal2"/>
    <w:tblPr>
      <w:tblStyleRowBandSize w:val="1"/>
      <w:tblStyleColBandSize w:val="1"/>
    </w:tblPr>
  </w:style>
  <w:style w:type="table" w:customStyle="1" w:styleId="a0">
    <w:basedOn w:val="TableNormal2"/>
    <w:tblPr>
      <w:tblStyleRowBandSize w:val="1"/>
      <w:tblStyleColBandSize w:val="1"/>
    </w:tblPr>
  </w:style>
  <w:style w:type="character" w:styleId="CommentReference">
    <w:name w:val="annotation reference"/>
    <w:basedOn w:val="DefaultParagraphFont"/>
    <w:uiPriority w:val="99"/>
    <w:semiHidden/>
    <w:unhideWhenUsed/>
    <w:rsid w:val="00867C19"/>
    <w:rPr>
      <w:sz w:val="16"/>
      <w:szCs w:val="16"/>
    </w:rPr>
  </w:style>
  <w:style w:type="paragraph" w:styleId="CommentText">
    <w:name w:val="annotation text"/>
    <w:basedOn w:val="Normal"/>
    <w:link w:val="CommentTextChar"/>
    <w:uiPriority w:val="99"/>
    <w:unhideWhenUsed/>
    <w:rsid w:val="00867C19"/>
    <w:pPr>
      <w:spacing w:line="240" w:lineRule="auto"/>
    </w:pPr>
    <w:rPr>
      <w:sz w:val="20"/>
      <w:szCs w:val="20"/>
    </w:rPr>
  </w:style>
  <w:style w:type="character" w:customStyle="1" w:styleId="CommentTextChar">
    <w:name w:val="Comment Text Char"/>
    <w:basedOn w:val="DefaultParagraphFont"/>
    <w:link w:val="CommentText"/>
    <w:uiPriority w:val="99"/>
    <w:rsid w:val="00867C19"/>
    <w:rPr>
      <w:sz w:val="20"/>
      <w:szCs w:val="20"/>
    </w:rPr>
  </w:style>
  <w:style w:type="paragraph" w:styleId="CommentSubject">
    <w:name w:val="annotation subject"/>
    <w:basedOn w:val="CommentText"/>
    <w:next w:val="CommentText"/>
    <w:link w:val="CommentSubjectChar"/>
    <w:uiPriority w:val="99"/>
    <w:semiHidden/>
    <w:unhideWhenUsed/>
    <w:rsid w:val="00867C19"/>
    <w:rPr>
      <w:b/>
      <w:bCs/>
    </w:rPr>
  </w:style>
  <w:style w:type="character" w:customStyle="1" w:styleId="CommentSubjectChar">
    <w:name w:val="Comment Subject Char"/>
    <w:basedOn w:val="CommentTextChar"/>
    <w:link w:val="CommentSubject"/>
    <w:uiPriority w:val="99"/>
    <w:semiHidden/>
    <w:rsid w:val="00867C19"/>
    <w:rPr>
      <w:b/>
      <w:bCs/>
      <w:sz w:val="20"/>
      <w:szCs w:val="20"/>
    </w:rPr>
  </w:style>
  <w:style w:type="paragraph" w:styleId="Revision">
    <w:name w:val="Revision"/>
    <w:hidden/>
    <w:uiPriority w:val="99"/>
    <w:semiHidden/>
    <w:rsid w:val="00867C19"/>
    <w:pPr>
      <w:spacing w:line="240" w:lineRule="auto"/>
    </w:pPr>
  </w:style>
  <w:style w:type="table" w:customStyle="1" w:styleId="a1">
    <w:basedOn w:val="TableNormal"/>
    <w:tblPr>
      <w:tblStyleRowBandSize w:val="1"/>
      <w:tblStyleColBandSize w:val="1"/>
    </w:tbl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2">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oi.org/10.1302/2058-5241.4.180075" TargetMode="External"/><Relationship Id="rId3" Type="http://schemas.openxmlformats.org/officeDocument/2006/relationships/styles" Target="styles.xml"/><Relationship Id="rId7" Type="http://schemas.openxmlformats.org/officeDocument/2006/relationships/hyperlink" Target="https://doi.org/10.1302/2058-5241.4.18007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i.org/10.1007/s00402-018-3080-0"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1186/s12917-022-03174-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NsGWOzQXrrOCITGIQMrwx4m/ZA==">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991</Words>
  <Characters>5654</Characters>
  <Application>Microsoft Office Word</Application>
  <DocSecurity>0</DocSecurity>
  <Lines>47</Lines>
  <Paragraphs>13</Paragraphs>
  <ScaleCrop>false</ScaleCrop>
  <Company/>
  <LinksUpToDate>false</LinksUpToDate>
  <CharactersWithSpaces>6632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Kian Scott Martin</dc:creator>
  <cp:lastModifiedBy>Kian Scott Martin</cp:lastModifiedBy>
  <cp:revision>5</cp:revision>
  <dcterms:created xsi:type="dcterms:W3CDTF">2025-10-31T23:47:00Z</dcterms:created>
  <dcterms:modified xsi:type="dcterms:W3CDTF">2025-11-01T01:15:00Z</dcterms:modified>
</cp:coreProperties>
</file>