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DB63" w14:textId="64FAAB08" w:rsidR="00DE07CE" w:rsidRPr="003B0F83" w:rsidRDefault="009E1AB0" w:rsidP="001C7BF6">
      <w:pPr>
        <w:spacing w:line="240" w:lineRule="auto"/>
        <w:contextualSpacing/>
        <w:jc w:val="both"/>
        <w:rPr>
          <w:rFonts w:ascii="Arial" w:hAnsi="Arial" w:cs="Arial"/>
          <w:b/>
          <w:bCs/>
        </w:rPr>
      </w:pPr>
      <w:r w:rsidRPr="003B0F83">
        <w:rPr>
          <w:rFonts w:ascii="Arial" w:hAnsi="Arial" w:cs="Arial"/>
          <w:b/>
          <w:bCs/>
        </w:rPr>
        <w:t>Objective</w:t>
      </w:r>
      <w:r w:rsidR="003B0F83" w:rsidRPr="003B0F83">
        <w:rPr>
          <w:rFonts w:ascii="Arial" w:hAnsi="Arial" w:cs="Arial"/>
          <w:b/>
          <w:bCs/>
        </w:rPr>
        <w:t>:</w:t>
      </w:r>
    </w:p>
    <w:p w14:paraId="7289FB76" w14:textId="77777777" w:rsidR="00DE07CE" w:rsidRPr="003C19AD" w:rsidRDefault="00DE07CE" w:rsidP="001C7BF6">
      <w:pPr>
        <w:spacing w:line="240" w:lineRule="auto"/>
        <w:contextualSpacing/>
        <w:jc w:val="both"/>
        <w:rPr>
          <w:rFonts w:ascii="Arial" w:hAnsi="Arial" w:cs="Arial"/>
        </w:rPr>
      </w:pPr>
    </w:p>
    <w:p w14:paraId="0BAECD05" w14:textId="4F7C8584" w:rsidR="009E1AB0" w:rsidRPr="003C19AD" w:rsidRDefault="009E1AB0" w:rsidP="001C7BF6">
      <w:pPr>
        <w:spacing w:line="240" w:lineRule="auto"/>
        <w:contextualSpacing/>
        <w:jc w:val="both"/>
        <w:rPr>
          <w:rFonts w:ascii="Arial" w:hAnsi="Arial" w:cs="Arial"/>
          <w:vertAlign w:val="superscript"/>
        </w:rPr>
      </w:pPr>
      <w:r w:rsidRPr="003C19AD">
        <w:rPr>
          <w:rFonts w:ascii="Arial" w:hAnsi="Arial" w:cs="Arial"/>
        </w:rPr>
        <w:t>Laminitis is a common, painful and debilitating equine disease. Treatment options remain limited</w:t>
      </w:r>
      <w:r w:rsidRPr="003C19AD">
        <w:rPr>
          <w:rFonts w:ascii="Arial" w:hAnsi="Arial" w:cs="Arial"/>
          <w:vertAlign w:val="superscript"/>
        </w:rPr>
        <w:t>1</w:t>
      </w:r>
      <w:r w:rsidRPr="003C19AD">
        <w:rPr>
          <w:rFonts w:ascii="Arial" w:hAnsi="Arial" w:cs="Arial"/>
        </w:rPr>
        <w:t>. Individuals affected by metabolic, septic and orthopedic conditions are prone to laminitis. There is a need for alternative therapeutic options to treat and prevent the onset of laminitis. Current knowledge states that weakening of the laminar attachment occurs during laminitis. Specifically, in the Systemic Inflammatory Response Syndrome (SIRS) related laminitis, damage to the intestinal barrier in a highly acidic colonic environment and endotoxemia resulting from death of Gram negative spp of the hindgut have been identified as causative of laminitis</w:t>
      </w:r>
      <w:r w:rsidRPr="003C19AD">
        <w:rPr>
          <w:rFonts w:ascii="Arial" w:hAnsi="Arial" w:cs="Arial"/>
          <w:vertAlign w:val="superscript"/>
        </w:rPr>
        <w:t>2</w:t>
      </w:r>
      <w:r w:rsidRPr="003C19AD">
        <w:rPr>
          <w:rFonts w:ascii="Arial" w:hAnsi="Arial" w:cs="Arial"/>
        </w:rPr>
        <w:t>. While the exact mechanism has not been elucidated, endotoxins have direct vasoactive effects in addition to systemic effects</w:t>
      </w:r>
      <w:r w:rsidRPr="003C19AD">
        <w:rPr>
          <w:rFonts w:ascii="Arial" w:hAnsi="Arial" w:cs="Arial"/>
          <w:vertAlign w:val="superscript"/>
        </w:rPr>
        <w:t>3</w:t>
      </w:r>
      <w:r w:rsidRPr="003C19AD">
        <w:rPr>
          <w:rFonts w:ascii="Arial" w:hAnsi="Arial" w:cs="Arial"/>
        </w:rPr>
        <w:t xml:space="preserve">. Clopidogrel inhibits platelet </w:t>
      </w:r>
      <w:r w:rsidR="005A5CD2" w:rsidRPr="003C19AD">
        <w:rPr>
          <w:rFonts w:ascii="Arial" w:hAnsi="Arial" w:cs="Arial"/>
        </w:rPr>
        <w:t>aggregation,</w:t>
      </w:r>
      <w:r w:rsidRPr="003C19AD">
        <w:rPr>
          <w:rFonts w:ascii="Arial" w:hAnsi="Arial" w:cs="Arial"/>
        </w:rPr>
        <w:t xml:space="preserve"> and a newly available generic form permits investigation of the vasomodulatory effects of clopidogrel in the context of laminitis. On a microscopic level, the effects of clopidogrel </w:t>
      </w:r>
      <w:r w:rsidR="005A5CD2" w:rsidRPr="003C19AD">
        <w:rPr>
          <w:rFonts w:ascii="Arial" w:hAnsi="Arial" w:cs="Arial"/>
        </w:rPr>
        <w:t>can be</w:t>
      </w:r>
      <w:r w:rsidRPr="003C19AD">
        <w:rPr>
          <w:rFonts w:ascii="Arial" w:hAnsi="Arial" w:cs="Arial"/>
        </w:rPr>
        <w:t xml:space="preserve"> assessed on the hemidesmosome adhesion complex, which maintains the stability of the dermo-epidermal junction. Loss of hemidesmosomes has been correlated with laminitis severity.</w:t>
      </w:r>
      <w:r w:rsidRPr="003C19AD">
        <w:rPr>
          <w:rFonts w:ascii="Arial" w:hAnsi="Arial" w:cs="Arial"/>
          <w:vertAlign w:val="superscript"/>
        </w:rPr>
        <w:t>4</w:t>
      </w:r>
    </w:p>
    <w:p w14:paraId="3B41BDC9" w14:textId="77777777" w:rsidR="00DE07CE" w:rsidRPr="003C19AD" w:rsidRDefault="009E1AB0" w:rsidP="001C7BF6">
      <w:pPr>
        <w:pStyle w:val="ListParagraph"/>
        <w:spacing w:after="120" w:line="240" w:lineRule="auto"/>
        <w:ind w:left="0"/>
        <w:jc w:val="both"/>
        <w:rPr>
          <w:rFonts w:ascii="Arial" w:hAnsi="Arial" w:cs="Arial"/>
        </w:rPr>
      </w:pPr>
      <w:r w:rsidRPr="003C19AD">
        <w:rPr>
          <w:rFonts w:ascii="Arial" w:hAnsi="Arial" w:cs="Arial"/>
        </w:rPr>
        <w:t>Overall Hypothesis: Horses affected by the SIRS induced laminitis model and preventively treated with clopidogrel for five days will have a stronger laminar attachment and higher hemidesmosome density than horses affected by the SIRS induced laminitis model and treated with a placebo.</w:t>
      </w:r>
    </w:p>
    <w:p w14:paraId="6BC911B7" w14:textId="77777777" w:rsidR="00DE07CE" w:rsidRPr="003C19AD" w:rsidRDefault="00DE07CE" w:rsidP="001C7BF6">
      <w:pPr>
        <w:pStyle w:val="ListParagraph"/>
        <w:spacing w:after="120" w:line="240" w:lineRule="auto"/>
        <w:ind w:left="0"/>
        <w:jc w:val="both"/>
        <w:rPr>
          <w:rFonts w:ascii="Arial" w:hAnsi="Arial" w:cs="Arial"/>
        </w:rPr>
      </w:pPr>
    </w:p>
    <w:p w14:paraId="623F3B61" w14:textId="09DD874B" w:rsidR="00DE07CE" w:rsidRPr="008626BE" w:rsidRDefault="009E1AB0" w:rsidP="001C7BF6">
      <w:pPr>
        <w:pStyle w:val="ListParagraph"/>
        <w:spacing w:after="120" w:line="240" w:lineRule="auto"/>
        <w:ind w:left="0"/>
        <w:jc w:val="both"/>
        <w:rPr>
          <w:rFonts w:ascii="Arial" w:hAnsi="Arial" w:cs="Arial"/>
          <w:b/>
          <w:bCs/>
        </w:rPr>
      </w:pPr>
      <w:r w:rsidRPr="008626BE">
        <w:rPr>
          <w:rFonts w:ascii="Arial" w:hAnsi="Arial" w:cs="Arial"/>
          <w:b/>
          <w:bCs/>
        </w:rPr>
        <w:t>Study Desig</w:t>
      </w:r>
      <w:r w:rsidR="00DE07CE" w:rsidRPr="008626BE">
        <w:rPr>
          <w:rFonts w:ascii="Arial" w:hAnsi="Arial" w:cs="Arial"/>
          <w:b/>
          <w:bCs/>
        </w:rPr>
        <w:t>n</w:t>
      </w:r>
      <w:r w:rsidR="008626BE" w:rsidRPr="008626BE">
        <w:rPr>
          <w:rFonts w:ascii="Arial" w:hAnsi="Arial" w:cs="Arial"/>
          <w:b/>
          <w:bCs/>
        </w:rPr>
        <w:t>:</w:t>
      </w:r>
    </w:p>
    <w:p w14:paraId="400F5ECB" w14:textId="77777777" w:rsidR="00DE07CE" w:rsidRPr="003C19AD" w:rsidRDefault="00DE07CE" w:rsidP="001C7BF6">
      <w:pPr>
        <w:pStyle w:val="ListParagraph"/>
        <w:spacing w:after="120" w:line="240" w:lineRule="auto"/>
        <w:ind w:left="0"/>
        <w:jc w:val="both"/>
        <w:rPr>
          <w:rFonts w:ascii="Arial" w:hAnsi="Arial" w:cs="Arial"/>
        </w:rPr>
      </w:pPr>
    </w:p>
    <w:p w14:paraId="2D352F03" w14:textId="56A42A99" w:rsidR="00DE07CE" w:rsidRPr="003C19AD" w:rsidRDefault="009E1AB0" w:rsidP="001C7BF6">
      <w:pPr>
        <w:pStyle w:val="ListParagraph"/>
        <w:spacing w:after="120" w:line="240" w:lineRule="auto"/>
        <w:ind w:left="0"/>
        <w:jc w:val="both"/>
        <w:rPr>
          <w:rFonts w:ascii="Arial" w:hAnsi="Arial" w:cs="Arial"/>
          <w:bCs/>
        </w:rPr>
      </w:pPr>
      <w:r w:rsidRPr="003C19AD">
        <w:rPr>
          <w:rFonts w:ascii="Arial" w:hAnsi="Arial" w:cs="Arial"/>
        </w:rPr>
        <w:t xml:space="preserve">The study is a prospective, blinded, randomized controlled experimental trial. Hooves belong to one of three groups. In the treatment group, horses </w:t>
      </w:r>
      <w:r w:rsidR="004D3E27">
        <w:rPr>
          <w:rFonts w:ascii="Arial" w:hAnsi="Arial" w:cs="Arial"/>
        </w:rPr>
        <w:t>were</w:t>
      </w:r>
      <w:r w:rsidRPr="003C19AD">
        <w:rPr>
          <w:rFonts w:ascii="Arial" w:hAnsi="Arial" w:cs="Arial"/>
        </w:rPr>
        <w:t xml:space="preserve"> preventively treated with clopidogrel (days 1-2) before experimental induction of laminitis on day 3 using the carbohydrate overload model. Horses continued to be treated through days 3-5. In the placebo group, horses received a placebo (days 1-5) with induction of laminitis on day 3. Lastly, the third group is comprised of healthy control horses. </w:t>
      </w:r>
      <w:r w:rsidRPr="003C19AD">
        <w:rPr>
          <w:rFonts w:ascii="Arial" w:hAnsi="Arial" w:cs="Arial"/>
          <w:bCs/>
        </w:rPr>
        <w:t>On the morning of day 5, dynamic contrast-enhanced CT of one distal forelimb per horse was performed to assess digital perfusion after which horses were euthanized.</w:t>
      </w:r>
    </w:p>
    <w:p w14:paraId="36F3C1FD" w14:textId="77777777" w:rsidR="00DE07CE" w:rsidRPr="003C19AD" w:rsidRDefault="00DE07CE" w:rsidP="001C7BF6">
      <w:pPr>
        <w:pStyle w:val="ListParagraph"/>
        <w:spacing w:after="120" w:line="240" w:lineRule="auto"/>
        <w:ind w:left="0"/>
        <w:jc w:val="both"/>
        <w:rPr>
          <w:rFonts w:ascii="Arial" w:hAnsi="Arial" w:cs="Arial"/>
          <w:bCs/>
        </w:rPr>
      </w:pPr>
    </w:p>
    <w:p w14:paraId="52736DD0" w14:textId="4065C7B9" w:rsidR="009E1AB0" w:rsidRPr="003C19AD" w:rsidRDefault="009E1AB0" w:rsidP="001C7BF6">
      <w:pPr>
        <w:pStyle w:val="ListParagraph"/>
        <w:spacing w:after="120" w:line="240" w:lineRule="auto"/>
        <w:ind w:left="0"/>
        <w:jc w:val="both"/>
        <w:rPr>
          <w:rFonts w:ascii="Arial" w:hAnsi="Arial" w:cs="Arial"/>
        </w:rPr>
      </w:pPr>
      <w:r w:rsidRPr="003C19AD">
        <w:rPr>
          <w:rFonts w:ascii="Arial" w:hAnsi="Arial" w:cs="Arial"/>
        </w:rPr>
        <w:t xml:space="preserve">Hooves were sectioned within one hour of euthanasia using a band saw. A custom jig allowed for mechanical testing of eight samples per hoof (Left/Right, Distal/Proximal, Medial/Lateral) (Figure 1). </w:t>
      </w:r>
      <w:r w:rsidRPr="003C19AD">
        <w:rPr>
          <w:rFonts w:ascii="Arial" w:hAnsi="Arial" w:cs="Arial"/>
          <w:color w:val="000000" w:themeColor="text1"/>
        </w:rPr>
        <w:t xml:space="preserve">The width and depth of lamina still intact for testing was measured and recorded to allow for normalization of forces. Peak force exerted on samples at failure was recorded. Following mechanical testing, the remaining separated samples were processed for standard light </w:t>
      </w:r>
      <w:r w:rsidR="00281C38" w:rsidRPr="003C19AD">
        <w:rPr>
          <w:rFonts w:ascii="Arial" w:hAnsi="Arial" w:cs="Arial"/>
          <w:color w:val="000000" w:themeColor="text1"/>
        </w:rPr>
        <w:t xml:space="preserve">microscopy </w:t>
      </w:r>
      <w:r w:rsidR="00281C38" w:rsidRPr="003C19AD">
        <w:rPr>
          <w:rFonts w:ascii="Arial" w:hAnsi="Arial" w:cs="Arial"/>
          <w:iCs/>
          <w:color w:val="000000" w:themeColor="text1"/>
        </w:rPr>
        <w:t>to</w:t>
      </w:r>
      <w:r w:rsidRPr="003C19AD">
        <w:rPr>
          <w:rFonts w:ascii="Arial" w:hAnsi="Arial" w:cs="Arial"/>
          <w:i/>
          <w:color w:val="000000" w:themeColor="text1"/>
        </w:rPr>
        <w:t xml:space="preserve"> </w:t>
      </w:r>
      <w:r w:rsidRPr="003C19AD">
        <w:rPr>
          <w:rFonts w:ascii="Arial" w:hAnsi="Arial" w:cs="Arial"/>
          <w:color w:val="000000" w:themeColor="text1"/>
        </w:rPr>
        <w:t xml:space="preserve">identify the layer of tissue where failure occurred. </w:t>
      </w:r>
      <w:r w:rsidRPr="003C19AD">
        <w:rPr>
          <w:rFonts w:ascii="Arial" w:eastAsia="Times New Roman" w:hAnsi="Arial" w:cs="Arial"/>
          <w:kern w:val="0"/>
          <w14:ligatures w14:val="none"/>
        </w:rPr>
        <w:t>Sections taken from the middle of the hoof were collected for electron microscopy. A hemidesmosome density was determined from enumeration of hemidesmosomes along 200 microns of basement membrane</w:t>
      </w:r>
      <w:r w:rsidRPr="003C19AD">
        <w:rPr>
          <w:rFonts w:ascii="Arial" w:eastAsia="Times New Roman" w:hAnsi="Arial" w:cs="Arial"/>
          <w:kern w:val="0"/>
          <w:vertAlign w:val="superscript"/>
          <w14:ligatures w14:val="none"/>
        </w:rPr>
        <w:t>4</w:t>
      </w:r>
      <w:r w:rsidRPr="003C19AD">
        <w:rPr>
          <w:rFonts w:ascii="Arial" w:eastAsia="Times New Roman" w:hAnsi="Arial" w:cs="Arial"/>
          <w:kern w:val="0"/>
          <w14:ligatures w14:val="none"/>
        </w:rPr>
        <w:t>.</w:t>
      </w:r>
    </w:p>
    <w:p w14:paraId="62589565" w14:textId="77777777" w:rsidR="00115D70" w:rsidRPr="003C19AD" w:rsidRDefault="00115D70" w:rsidP="001C7BF6">
      <w:pPr>
        <w:spacing w:after="0" w:line="240" w:lineRule="auto"/>
        <w:contextualSpacing/>
        <w:jc w:val="both"/>
        <w:rPr>
          <w:rFonts w:ascii="Arial" w:hAnsi="Arial" w:cs="Arial"/>
        </w:rPr>
      </w:pPr>
    </w:p>
    <w:p w14:paraId="601C2A91" w14:textId="38370C3D" w:rsidR="00DE07CE" w:rsidRPr="008626BE" w:rsidRDefault="009E1AB0" w:rsidP="001C7BF6">
      <w:pPr>
        <w:spacing w:line="240" w:lineRule="auto"/>
        <w:contextualSpacing/>
        <w:jc w:val="both"/>
        <w:rPr>
          <w:rFonts w:ascii="Arial" w:hAnsi="Arial" w:cs="Arial"/>
          <w:b/>
          <w:bCs/>
        </w:rPr>
      </w:pPr>
      <w:r w:rsidRPr="008626BE">
        <w:rPr>
          <w:rFonts w:ascii="Arial" w:hAnsi="Arial" w:cs="Arial"/>
          <w:b/>
          <w:bCs/>
        </w:rPr>
        <w:t>Results</w:t>
      </w:r>
      <w:r w:rsidR="008626BE" w:rsidRPr="008626BE">
        <w:rPr>
          <w:rFonts w:ascii="Arial" w:hAnsi="Arial" w:cs="Arial"/>
          <w:b/>
          <w:bCs/>
        </w:rPr>
        <w:t>:</w:t>
      </w:r>
    </w:p>
    <w:p w14:paraId="1C786507" w14:textId="77777777" w:rsidR="00DE07CE" w:rsidRPr="003C19AD" w:rsidRDefault="00DE07CE" w:rsidP="001C7BF6">
      <w:pPr>
        <w:spacing w:line="240" w:lineRule="auto"/>
        <w:contextualSpacing/>
        <w:jc w:val="both"/>
        <w:rPr>
          <w:rFonts w:ascii="Arial" w:hAnsi="Arial" w:cs="Arial"/>
        </w:rPr>
      </w:pPr>
    </w:p>
    <w:p w14:paraId="4D27C21A" w14:textId="6EDD4D57" w:rsidR="009E1AB0" w:rsidRPr="003C19AD" w:rsidRDefault="009E1AB0" w:rsidP="001C7BF6">
      <w:pPr>
        <w:spacing w:line="240" w:lineRule="auto"/>
        <w:contextualSpacing/>
        <w:jc w:val="both"/>
        <w:rPr>
          <w:rFonts w:ascii="Arial" w:hAnsi="Arial" w:cs="Arial"/>
        </w:rPr>
      </w:pPr>
      <w:r w:rsidRPr="003C19AD">
        <w:rPr>
          <w:rFonts w:ascii="Arial" w:hAnsi="Arial" w:cs="Arial"/>
        </w:rPr>
        <w:lastRenderedPageBreak/>
        <w:t>The current results are based on five horses enrolled in the healthy group, five in the treatment group, and six in the placebo group. All horses received dye in the left forelimb except for one horse (right forelimb). Maximal failure load per area (MaxLPA) in N/mm</w:t>
      </w:r>
      <w:r w:rsidRPr="003C19AD">
        <w:rPr>
          <w:rFonts w:ascii="Arial" w:hAnsi="Arial" w:cs="Arial"/>
          <w:vertAlign w:val="superscript"/>
        </w:rPr>
        <w:t>2</w:t>
      </w:r>
      <w:r w:rsidRPr="003C19AD">
        <w:rPr>
          <w:rFonts w:ascii="Arial" w:hAnsi="Arial" w:cs="Arial"/>
        </w:rPr>
        <w:t xml:space="preserve"> data was assessed for normality. The distribution of MaxLPA deviated from normality (Shapiro-Wilk W = 0.955 p&lt;0.001). The descriptive data will therefore be presented as median (range) (Table 1). Median MaxLPA for distal samples was 1.75 (0.36-5.93), and for proximal samples 2.24 (0.31-4.61). Median MaxLPA for dye and samples without dye were 2.00 (0.36-5.93) and 1.93 (0.31-4.34) respectively. Left forelimb median MaxLPA was 1.93 (0.36-5.93) and right forelimb median MaxLPA was 1.98 (0.31-4.52). The healthy group had a median MaxLPA value of 2.46 (0.54-5.93) compared to treatment and placebo groups 1.69 (0.31-4.34) and 1.72 (0.57-4.52) respectively. </w:t>
      </w:r>
    </w:p>
    <w:p w14:paraId="6273F7F1" w14:textId="77777777" w:rsidR="0050360C" w:rsidRPr="003C19AD" w:rsidRDefault="0050360C" w:rsidP="001C7BF6">
      <w:pPr>
        <w:spacing w:line="240" w:lineRule="auto"/>
        <w:contextualSpacing/>
        <w:jc w:val="both"/>
        <w:rPr>
          <w:rFonts w:ascii="Arial" w:hAnsi="Arial" w:cs="Arial"/>
        </w:rPr>
      </w:pPr>
    </w:p>
    <w:p w14:paraId="094E437A" w14:textId="38BAC0DC" w:rsidR="009E1AB0" w:rsidRPr="003C19AD" w:rsidRDefault="009E1AB0" w:rsidP="001C7BF6">
      <w:pPr>
        <w:spacing w:line="240" w:lineRule="auto"/>
        <w:contextualSpacing/>
        <w:jc w:val="both"/>
        <w:rPr>
          <w:rFonts w:ascii="Arial" w:hAnsi="Arial" w:cs="Arial"/>
        </w:rPr>
      </w:pPr>
      <w:r w:rsidRPr="003C19AD">
        <w:rPr>
          <w:rFonts w:ascii="Arial" w:hAnsi="Arial" w:cs="Arial"/>
        </w:rPr>
        <w:t xml:space="preserve">Mixed effects linear regression was applied, given its robust aptitude in the face of deviation from normality. Whether the sample was proximal or distal did influence MaxLPA (p = 0.001) with proximal samples having a greater maximal load per area than distal samples (estimate = 0.48 ± 0.15, t = 3.26, 95% CI = 0.19–0.76) (Figure </w:t>
      </w:r>
      <w:r w:rsidR="00115D70" w:rsidRPr="003C19AD">
        <w:rPr>
          <w:rFonts w:ascii="Arial" w:hAnsi="Arial" w:cs="Arial"/>
        </w:rPr>
        <w:t>2</w:t>
      </w:r>
      <w:r w:rsidRPr="003C19AD">
        <w:rPr>
          <w:rFonts w:ascii="Arial" w:hAnsi="Arial" w:cs="Arial"/>
        </w:rPr>
        <w:t xml:space="preserve">). There were no significant differences between right and left forelimbs (p = 0.942), or dye vs no dye (p=0.398). While the healthy group tended to have a greater MaxLPA than placebo and treatment groups, results were not significant (p = 0.066) and (p = 0.093) (Figure </w:t>
      </w:r>
      <w:r w:rsidR="00115D70" w:rsidRPr="003C19AD">
        <w:rPr>
          <w:rFonts w:ascii="Arial" w:hAnsi="Arial" w:cs="Arial"/>
        </w:rPr>
        <w:t>3</w:t>
      </w:r>
      <w:r w:rsidRPr="003C19AD">
        <w:rPr>
          <w:rFonts w:ascii="Arial" w:hAnsi="Arial" w:cs="Arial"/>
        </w:rPr>
        <w:t xml:space="preserve">). </w:t>
      </w:r>
    </w:p>
    <w:p w14:paraId="3F977EED" w14:textId="77777777" w:rsidR="00D13527" w:rsidRPr="003C19AD" w:rsidRDefault="00D13527" w:rsidP="001C7BF6">
      <w:pPr>
        <w:spacing w:line="240" w:lineRule="auto"/>
        <w:contextualSpacing/>
        <w:jc w:val="both"/>
        <w:rPr>
          <w:rFonts w:ascii="Arial" w:hAnsi="Arial" w:cs="Arial"/>
        </w:rPr>
      </w:pPr>
    </w:p>
    <w:p w14:paraId="1A7F659B" w14:textId="16632EB1" w:rsidR="009E1AB0" w:rsidRPr="003C19AD" w:rsidRDefault="009E1AB0" w:rsidP="001C7BF6">
      <w:pPr>
        <w:spacing w:line="240" w:lineRule="auto"/>
        <w:contextualSpacing/>
        <w:jc w:val="both"/>
        <w:rPr>
          <w:rFonts w:ascii="Arial" w:hAnsi="Arial" w:cs="Arial"/>
        </w:rPr>
      </w:pPr>
      <w:r w:rsidRPr="003C19AD">
        <w:rPr>
          <w:rFonts w:ascii="Arial" w:hAnsi="Arial" w:cs="Arial"/>
        </w:rPr>
        <w:t>Site of failure is being assessed</w:t>
      </w:r>
      <w:r w:rsidR="00115D70" w:rsidRPr="003C19AD">
        <w:rPr>
          <w:rFonts w:ascii="Arial" w:hAnsi="Arial" w:cs="Arial"/>
        </w:rPr>
        <w:t xml:space="preserve">. Various degrees of </w:t>
      </w:r>
      <w:r w:rsidRPr="003C19AD">
        <w:rPr>
          <w:rFonts w:ascii="Arial" w:hAnsi="Arial" w:cs="Arial"/>
        </w:rPr>
        <w:t>delamination</w:t>
      </w:r>
      <w:r w:rsidR="00115D70" w:rsidRPr="003C19AD">
        <w:rPr>
          <w:rFonts w:ascii="Arial" w:hAnsi="Arial" w:cs="Arial"/>
        </w:rPr>
        <w:t xml:space="preserve"> occurred (Figure 4)</w:t>
      </w:r>
      <w:r w:rsidRPr="003C19AD">
        <w:rPr>
          <w:rFonts w:ascii="Arial" w:hAnsi="Arial" w:cs="Arial"/>
        </w:rPr>
        <w:t xml:space="preserve">, </w:t>
      </w:r>
      <w:r w:rsidR="00115D70" w:rsidRPr="003C19AD">
        <w:rPr>
          <w:rFonts w:ascii="Arial" w:hAnsi="Arial" w:cs="Arial"/>
        </w:rPr>
        <w:t xml:space="preserve">and other </w:t>
      </w:r>
      <w:r w:rsidRPr="003C19AD">
        <w:rPr>
          <w:rFonts w:ascii="Arial" w:hAnsi="Arial" w:cs="Arial"/>
        </w:rPr>
        <w:t>sites of failure included</w:t>
      </w:r>
      <w:r w:rsidR="00115D70" w:rsidRPr="003C19AD">
        <w:rPr>
          <w:rFonts w:ascii="Arial" w:hAnsi="Arial" w:cs="Arial"/>
        </w:rPr>
        <w:t xml:space="preserve"> the </w:t>
      </w:r>
      <w:r w:rsidRPr="003C19AD">
        <w:rPr>
          <w:rFonts w:ascii="Arial" w:hAnsi="Arial" w:cs="Arial"/>
        </w:rPr>
        <w:t>interface of bone and lamina</w:t>
      </w:r>
      <w:r w:rsidR="00115D70" w:rsidRPr="003C19AD">
        <w:rPr>
          <w:rFonts w:ascii="Arial" w:hAnsi="Arial" w:cs="Arial"/>
        </w:rPr>
        <w:t>.</w:t>
      </w:r>
      <w:r w:rsidRPr="003C19AD">
        <w:rPr>
          <w:rFonts w:ascii="Arial" w:hAnsi="Arial" w:cs="Arial"/>
        </w:rPr>
        <w:t xml:space="preserve"> </w:t>
      </w:r>
    </w:p>
    <w:p w14:paraId="052AFD9B" w14:textId="65FA2885" w:rsidR="009E1AB0" w:rsidRPr="003C19AD" w:rsidRDefault="009E1AB0" w:rsidP="001C7BF6">
      <w:pPr>
        <w:spacing w:line="240" w:lineRule="auto"/>
        <w:contextualSpacing/>
        <w:jc w:val="both"/>
        <w:rPr>
          <w:rFonts w:ascii="Arial" w:hAnsi="Arial" w:cs="Arial"/>
        </w:rPr>
      </w:pPr>
      <w:r w:rsidRPr="003C19AD">
        <w:rPr>
          <w:rFonts w:ascii="Arial" w:hAnsi="Arial" w:cs="Arial"/>
        </w:rPr>
        <w:t>Hemidesmosome density is also being acquired. A hemidesmosome density of 700/200</w:t>
      </w:r>
      <w:r w:rsidRPr="003C19AD">
        <w:rPr>
          <w:rFonts w:ascii="Arial" w:hAnsi="Arial" w:cs="Arial"/>
        </w:rPr>
        <w:sym w:font="Symbol" w:char="F06D"/>
      </w:r>
      <w:r w:rsidRPr="003C19AD">
        <w:rPr>
          <w:rFonts w:ascii="Arial" w:hAnsi="Arial" w:cs="Arial"/>
        </w:rPr>
        <w:t>m (3.5/</w:t>
      </w:r>
      <w:r w:rsidRPr="003C19AD">
        <w:rPr>
          <w:rFonts w:ascii="Arial" w:hAnsi="Arial" w:cs="Arial"/>
        </w:rPr>
        <w:sym w:font="Symbol" w:char="F06D"/>
      </w:r>
      <w:r w:rsidRPr="003C19AD">
        <w:rPr>
          <w:rFonts w:ascii="Arial" w:hAnsi="Arial" w:cs="Arial"/>
        </w:rPr>
        <w:t xml:space="preserve">m) was found for a healthy horse (Figure </w:t>
      </w:r>
      <w:r w:rsidR="00115D70" w:rsidRPr="003C19AD">
        <w:rPr>
          <w:rFonts w:ascii="Arial" w:hAnsi="Arial" w:cs="Arial"/>
        </w:rPr>
        <w:t>5</w:t>
      </w:r>
      <w:r w:rsidRPr="003C19AD">
        <w:rPr>
          <w:rFonts w:ascii="Arial" w:hAnsi="Arial" w:cs="Arial"/>
        </w:rPr>
        <w:t xml:space="preserve">). Upon data acquisition, measurements will be compared across groups and correlated with maximal force at failure. </w:t>
      </w:r>
    </w:p>
    <w:p w14:paraId="14004355" w14:textId="77777777" w:rsidR="00DE07CE" w:rsidRPr="003C19AD" w:rsidRDefault="00DE07CE" w:rsidP="001C7BF6">
      <w:pPr>
        <w:spacing w:line="240" w:lineRule="auto"/>
        <w:contextualSpacing/>
        <w:jc w:val="both"/>
        <w:rPr>
          <w:rFonts w:ascii="Arial" w:hAnsi="Arial" w:cs="Arial"/>
        </w:rPr>
      </w:pPr>
    </w:p>
    <w:p w14:paraId="5D4FDC7A" w14:textId="5B4BE622" w:rsidR="009E1AB0" w:rsidRPr="00AB02CF" w:rsidRDefault="009E1AB0" w:rsidP="001C7BF6">
      <w:pPr>
        <w:spacing w:line="240" w:lineRule="auto"/>
        <w:contextualSpacing/>
        <w:jc w:val="both"/>
        <w:rPr>
          <w:rFonts w:ascii="Arial" w:hAnsi="Arial" w:cs="Arial"/>
          <w:b/>
          <w:bCs/>
        </w:rPr>
      </w:pPr>
      <w:r w:rsidRPr="00AB02CF">
        <w:rPr>
          <w:rFonts w:ascii="Arial" w:hAnsi="Arial" w:cs="Arial"/>
          <w:b/>
          <w:bCs/>
        </w:rPr>
        <w:t>Conclusion</w:t>
      </w:r>
      <w:r w:rsidR="00AB02CF">
        <w:rPr>
          <w:rFonts w:ascii="Arial" w:hAnsi="Arial" w:cs="Arial"/>
          <w:b/>
          <w:bCs/>
        </w:rPr>
        <w:t>:</w:t>
      </w:r>
    </w:p>
    <w:p w14:paraId="1F1C2348" w14:textId="77777777" w:rsidR="00DE07CE" w:rsidRPr="003C19AD" w:rsidRDefault="00DE07CE" w:rsidP="001C7BF6">
      <w:pPr>
        <w:spacing w:line="240" w:lineRule="auto"/>
        <w:contextualSpacing/>
        <w:jc w:val="both"/>
        <w:rPr>
          <w:rFonts w:ascii="Arial" w:hAnsi="Arial" w:cs="Arial"/>
        </w:rPr>
      </w:pPr>
    </w:p>
    <w:p w14:paraId="6DE421E5" w14:textId="299FAA51" w:rsidR="00D50EA2" w:rsidRPr="003C19AD" w:rsidRDefault="009E1AB0" w:rsidP="001C7BF6">
      <w:pPr>
        <w:spacing w:line="240" w:lineRule="auto"/>
        <w:contextualSpacing/>
        <w:jc w:val="both"/>
        <w:rPr>
          <w:rFonts w:ascii="Arial" w:hAnsi="Arial" w:cs="Arial"/>
        </w:rPr>
      </w:pPr>
      <w:r w:rsidRPr="003C19AD">
        <w:rPr>
          <w:rFonts w:ascii="Arial" w:hAnsi="Arial" w:cs="Arial"/>
        </w:rPr>
        <w:t xml:space="preserve">The healthy group samples had a higher MaxLPA than treatment and placebo groups, although no significance was achieved. </w:t>
      </w:r>
      <w:r w:rsidR="00D50EA2" w:rsidRPr="003C19AD">
        <w:rPr>
          <w:rFonts w:ascii="Arial" w:hAnsi="Arial" w:cs="Arial"/>
        </w:rPr>
        <w:t xml:space="preserve">No difference was observed between treatment and placebo groups. </w:t>
      </w:r>
      <w:r w:rsidR="006B0C67" w:rsidRPr="003C19AD">
        <w:rPr>
          <w:rFonts w:ascii="Arial" w:hAnsi="Arial" w:cs="Arial"/>
        </w:rPr>
        <w:t xml:space="preserve">The </w:t>
      </w:r>
      <w:r w:rsidR="00D50EA2" w:rsidRPr="003C19AD">
        <w:rPr>
          <w:rFonts w:ascii="Arial" w:hAnsi="Arial" w:cs="Arial"/>
        </w:rPr>
        <w:t>hypothesis cannot be accepted at this time. Limitations include the small sample size.</w:t>
      </w:r>
    </w:p>
    <w:p w14:paraId="74F50561" w14:textId="059993E9" w:rsidR="009E1AB0" w:rsidRPr="003C19AD" w:rsidRDefault="006B0C67" w:rsidP="001C7BF6">
      <w:pPr>
        <w:spacing w:line="240" w:lineRule="auto"/>
        <w:contextualSpacing/>
        <w:jc w:val="both"/>
        <w:rPr>
          <w:rFonts w:ascii="Arial" w:hAnsi="Arial" w:cs="Arial"/>
        </w:rPr>
      </w:pPr>
      <w:r w:rsidRPr="003C19AD">
        <w:rPr>
          <w:rFonts w:ascii="Arial" w:hAnsi="Arial" w:cs="Arial"/>
        </w:rPr>
        <w:t>P</w:t>
      </w:r>
      <w:r w:rsidR="00D50EA2" w:rsidRPr="003C19AD">
        <w:rPr>
          <w:rFonts w:ascii="Arial" w:hAnsi="Arial" w:cs="Arial"/>
        </w:rPr>
        <w:t>roximal samples were stronger than distal samples</w:t>
      </w:r>
      <w:r w:rsidR="0007309C" w:rsidRPr="003C19AD">
        <w:rPr>
          <w:rFonts w:ascii="Arial" w:hAnsi="Arial" w:cs="Arial"/>
        </w:rPr>
        <w:t xml:space="preserve">. </w:t>
      </w:r>
      <w:r w:rsidRPr="003C19AD">
        <w:rPr>
          <w:rFonts w:ascii="Arial" w:hAnsi="Arial" w:cs="Arial"/>
        </w:rPr>
        <w:t xml:space="preserve">Comparing hemidesmosome density </w:t>
      </w:r>
      <w:r w:rsidR="0007309C" w:rsidRPr="003C19AD">
        <w:rPr>
          <w:rFonts w:ascii="Arial" w:hAnsi="Arial" w:cs="Arial"/>
        </w:rPr>
        <w:t>of</w:t>
      </w:r>
      <w:r w:rsidRPr="003C19AD">
        <w:rPr>
          <w:rFonts w:ascii="Arial" w:hAnsi="Arial" w:cs="Arial"/>
        </w:rPr>
        <w:t xml:space="preserve"> proximal and distal samples </w:t>
      </w:r>
      <w:r w:rsidR="0007309C" w:rsidRPr="003C19AD">
        <w:rPr>
          <w:rFonts w:ascii="Arial" w:hAnsi="Arial" w:cs="Arial"/>
        </w:rPr>
        <w:t>is</w:t>
      </w:r>
      <w:r w:rsidRPr="003C19AD">
        <w:rPr>
          <w:rFonts w:ascii="Arial" w:hAnsi="Arial" w:cs="Arial"/>
        </w:rPr>
        <w:t xml:space="preserve"> warranted. </w:t>
      </w:r>
      <w:r w:rsidR="009E1AB0" w:rsidRPr="003C19AD">
        <w:rPr>
          <w:rFonts w:ascii="Arial" w:hAnsi="Arial" w:cs="Arial"/>
        </w:rPr>
        <w:t xml:space="preserve">Further results are pending. </w:t>
      </w:r>
    </w:p>
    <w:p w14:paraId="413524FD" w14:textId="77777777" w:rsidR="00DE07CE" w:rsidRPr="003C19AD" w:rsidRDefault="00DE07CE" w:rsidP="001C7BF6">
      <w:pPr>
        <w:spacing w:line="240" w:lineRule="auto"/>
        <w:contextualSpacing/>
        <w:jc w:val="both"/>
        <w:rPr>
          <w:rFonts w:ascii="Arial" w:hAnsi="Arial" w:cs="Arial"/>
        </w:rPr>
      </w:pPr>
    </w:p>
    <w:p w14:paraId="76DC44EF" w14:textId="73393DDF" w:rsidR="009E1AB0" w:rsidRPr="00B42A93" w:rsidRDefault="009E1AB0" w:rsidP="001C7BF6">
      <w:pPr>
        <w:spacing w:line="240" w:lineRule="auto"/>
        <w:contextualSpacing/>
        <w:jc w:val="both"/>
        <w:rPr>
          <w:rFonts w:ascii="Arial" w:hAnsi="Arial" w:cs="Arial"/>
          <w:b/>
          <w:bCs/>
        </w:rPr>
      </w:pPr>
      <w:r w:rsidRPr="00B42A93">
        <w:rPr>
          <w:rFonts w:ascii="Arial" w:hAnsi="Arial" w:cs="Arial"/>
          <w:b/>
          <w:bCs/>
        </w:rPr>
        <w:t>Acknowledgements</w:t>
      </w:r>
      <w:r w:rsidR="00B42A93">
        <w:rPr>
          <w:rFonts w:ascii="Arial" w:hAnsi="Arial" w:cs="Arial"/>
          <w:b/>
          <w:bCs/>
        </w:rPr>
        <w:t>:</w:t>
      </w:r>
    </w:p>
    <w:p w14:paraId="4C9DD7AB" w14:textId="77777777" w:rsidR="00DE07CE" w:rsidRPr="003C19AD" w:rsidRDefault="00DE07CE" w:rsidP="001C7BF6">
      <w:pPr>
        <w:spacing w:line="240" w:lineRule="auto"/>
        <w:contextualSpacing/>
        <w:jc w:val="both"/>
        <w:rPr>
          <w:rFonts w:ascii="Arial" w:hAnsi="Arial" w:cs="Arial"/>
        </w:rPr>
      </w:pPr>
    </w:p>
    <w:p w14:paraId="7B4D77D6" w14:textId="3D091A7B" w:rsidR="009E1AB0" w:rsidRPr="003C19AD" w:rsidRDefault="009E1AB0" w:rsidP="001C7BF6">
      <w:pPr>
        <w:spacing w:line="240" w:lineRule="auto"/>
        <w:contextualSpacing/>
        <w:jc w:val="both"/>
        <w:rPr>
          <w:rFonts w:ascii="Arial" w:hAnsi="Arial" w:cs="Arial"/>
          <w:color w:val="212121"/>
        </w:rPr>
      </w:pPr>
      <w:r w:rsidRPr="003C19AD">
        <w:rPr>
          <w:rFonts w:ascii="Arial" w:hAnsi="Arial" w:cs="Arial"/>
        </w:rPr>
        <w:t xml:space="preserve">This work is supported by </w:t>
      </w:r>
      <w:r w:rsidR="005A5CD2" w:rsidRPr="003C19AD">
        <w:rPr>
          <w:rFonts w:ascii="Arial" w:hAnsi="Arial" w:cs="Arial"/>
        </w:rPr>
        <w:t>XXXXXXXXXXXXXXX</w:t>
      </w:r>
      <w:r w:rsidRPr="003C19AD">
        <w:rPr>
          <w:rFonts w:ascii="Arial" w:hAnsi="Arial" w:cs="Arial"/>
        </w:rPr>
        <w:t xml:space="preserve">, </w:t>
      </w:r>
      <w:r w:rsidRPr="003C19AD">
        <w:rPr>
          <w:rFonts w:ascii="Arial" w:hAnsi="Arial" w:cs="Arial"/>
          <w:color w:val="000000"/>
        </w:rPr>
        <w:t>2025</w:t>
      </w:r>
      <w:r w:rsidR="005A5CD2" w:rsidRPr="003C19AD">
        <w:rPr>
          <w:rFonts w:ascii="Arial" w:hAnsi="Arial" w:cs="Arial"/>
          <w:color w:val="000000"/>
        </w:rPr>
        <w:t xml:space="preserve"> XXXXXX </w:t>
      </w:r>
      <w:r w:rsidRPr="003C19AD">
        <w:rPr>
          <w:rFonts w:ascii="Arial" w:hAnsi="Arial" w:cs="Arial"/>
          <w:color w:val="000000"/>
        </w:rPr>
        <w:t>Equine Research</w:t>
      </w:r>
      <w:r w:rsidRPr="003C19AD">
        <w:rPr>
          <w:rStyle w:val="apple-converted-space"/>
          <w:rFonts w:ascii="Arial" w:hAnsi="Arial" w:cs="Arial"/>
          <w:color w:val="000000"/>
        </w:rPr>
        <w:t> </w:t>
      </w:r>
      <w:r w:rsidRPr="003C19AD">
        <w:rPr>
          <w:rStyle w:val="outlook-search-highlight"/>
          <w:rFonts w:ascii="Arial" w:hAnsi="Arial" w:cs="Arial"/>
          <w:color w:val="000000"/>
        </w:rPr>
        <w:t xml:space="preserve">Grant and </w:t>
      </w:r>
      <w:r w:rsidR="005F78EC">
        <w:rPr>
          <w:rFonts w:ascii="Arial" w:hAnsi="Arial" w:cs="Arial"/>
          <w:color w:val="212121"/>
        </w:rPr>
        <w:t>G</w:t>
      </w:r>
      <w:r w:rsidRPr="003C19AD">
        <w:rPr>
          <w:rFonts w:ascii="Arial" w:hAnsi="Arial" w:cs="Arial"/>
          <w:color w:val="212121"/>
        </w:rPr>
        <w:t xml:space="preserve">raduate </w:t>
      </w:r>
      <w:r w:rsidR="005F78EC">
        <w:rPr>
          <w:rFonts w:ascii="Arial" w:hAnsi="Arial" w:cs="Arial"/>
          <w:color w:val="212121"/>
        </w:rPr>
        <w:t>S</w:t>
      </w:r>
      <w:r w:rsidRPr="003C19AD">
        <w:rPr>
          <w:rFonts w:ascii="Arial" w:hAnsi="Arial" w:cs="Arial"/>
          <w:color w:val="212121"/>
        </w:rPr>
        <w:t xml:space="preserve">tudent </w:t>
      </w:r>
      <w:r w:rsidR="005F78EC">
        <w:rPr>
          <w:rFonts w:ascii="Arial" w:hAnsi="Arial" w:cs="Arial"/>
          <w:color w:val="212121"/>
        </w:rPr>
        <w:t>C</w:t>
      </w:r>
      <w:r w:rsidRPr="003C19AD">
        <w:rPr>
          <w:rFonts w:ascii="Arial" w:hAnsi="Arial" w:cs="Arial"/>
          <w:color w:val="212121"/>
        </w:rPr>
        <w:t xml:space="preserve">ompetitive </w:t>
      </w:r>
      <w:r w:rsidR="005F78EC">
        <w:rPr>
          <w:rFonts w:ascii="Arial" w:hAnsi="Arial" w:cs="Arial"/>
          <w:color w:val="212121"/>
        </w:rPr>
        <w:t>R</w:t>
      </w:r>
      <w:r w:rsidRPr="003C19AD">
        <w:rPr>
          <w:rFonts w:ascii="Arial" w:hAnsi="Arial" w:cs="Arial"/>
          <w:color w:val="212121"/>
        </w:rPr>
        <w:t xml:space="preserve">esearch </w:t>
      </w:r>
      <w:r w:rsidR="005F78EC">
        <w:rPr>
          <w:rFonts w:ascii="Arial" w:hAnsi="Arial" w:cs="Arial"/>
          <w:color w:val="212121"/>
        </w:rPr>
        <w:t>F</w:t>
      </w:r>
      <w:r w:rsidRPr="003C19AD">
        <w:rPr>
          <w:rFonts w:ascii="Arial" w:hAnsi="Arial" w:cs="Arial"/>
          <w:color w:val="212121"/>
        </w:rPr>
        <w:t>unds via</w:t>
      </w:r>
      <w:r w:rsidR="005A5CD2" w:rsidRPr="003C19AD">
        <w:rPr>
          <w:rFonts w:ascii="Arial" w:hAnsi="Arial" w:cs="Arial"/>
          <w:color w:val="212121"/>
        </w:rPr>
        <w:t xml:space="preserve"> XXXXXXXXXXXX</w:t>
      </w:r>
      <w:r w:rsidRPr="003C19AD">
        <w:rPr>
          <w:rFonts w:ascii="Arial" w:hAnsi="Arial" w:cs="Arial"/>
          <w:color w:val="212121"/>
        </w:rPr>
        <w:t xml:space="preserve"> (2025-2026)</w:t>
      </w:r>
      <w:r w:rsidR="0073498D" w:rsidRPr="003C19AD">
        <w:rPr>
          <w:rFonts w:ascii="Arial" w:hAnsi="Arial" w:cs="Arial"/>
          <w:color w:val="212121"/>
        </w:rPr>
        <w:t xml:space="preserve"> as well as the XXXXXXXXXXXXXX Research Award</w:t>
      </w:r>
      <w:r w:rsidRPr="003C19AD">
        <w:rPr>
          <w:rFonts w:ascii="Arial" w:hAnsi="Arial" w:cs="Arial"/>
          <w:color w:val="212121"/>
        </w:rPr>
        <w:t xml:space="preserve">. We are grateful for the </w:t>
      </w:r>
      <w:r w:rsidR="005A5CD2" w:rsidRPr="003C19AD">
        <w:rPr>
          <w:rFonts w:ascii="Arial" w:hAnsi="Arial" w:cs="Arial"/>
          <w:color w:val="212121"/>
        </w:rPr>
        <w:t>XXXXXXXXX</w:t>
      </w:r>
      <w:r w:rsidRPr="003C19AD">
        <w:rPr>
          <w:rFonts w:ascii="Arial" w:hAnsi="Arial" w:cs="Arial"/>
          <w:color w:val="212121"/>
        </w:rPr>
        <w:t xml:space="preserve"> Diagnostic Laboratory, </w:t>
      </w:r>
      <w:r w:rsidR="005A5CD2" w:rsidRPr="003C19AD">
        <w:rPr>
          <w:rFonts w:ascii="Arial" w:hAnsi="Arial" w:cs="Arial"/>
          <w:color w:val="212121"/>
        </w:rPr>
        <w:t>XXXXXXXX</w:t>
      </w:r>
      <w:r w:rsidR="009E2B4C" w:rsidRPr="003C19AD">
        <w:rPr>
          <w:rFonts w:ascii="Arial" w:hAnsi="Arial" w:cs="Arial"/>
          <w:color w:val="212121"/>
        </w:rPr>
        <w:t>X</w:t>
      </w:r>
      <w:r w:rsidRPr="003C19AD">
        <w:rPr>
          <w:rFonts w:ascii="Arial" w:hAnsi="Arial" w:cs="Arial"/>
          <w:color w:val="212121"/>
        </w:rPr>
        <w:t xml:space="preserve"> Histology Research Laboratory and the</w:t>
      </w:r>
      <w:r w:rsidR="005A5CD2" w:rsidRPr="003C19AD">
        <w:rPr>
          <w:rFonts w:ascii="Arial" w:hAnsi="Arial" w:cs="Arial"/>
          <w:color w:val="212121"/>
        </w:rPr>
        <w:t xml:space="preserve"> XXXXXXXXX</w:t>
      </w:r>
      <w:r w:rsidRPr="003C19AD">
        <w:rPr>
          <w:rFonts w:ascii="Arial" w:hAnsi="Arial" w:cs="Arial"/>
          <w:color w:val="212121"/>
        </w:rPr>
        <w:t xml:space="preserve"> Electron Microscopy Facility.</w:t>
      </w:r>
    </w:p>
    <w:p w14:paraId="465D37F4" w14:textId="77777777" w:rsidR="00DE07CE" w:rsidRPr="003C19AD" w:rsidRDefault="00DE07CE" w:rsidP="001C7BF6">
      <w:pPr>
        <w:spacing w:line="240" w:lineRule="auto"/>
        <w:contextualSpacing/>
        <w:jc w:val="both"/>
        <w:rPr>
          <w:rFonts w:ascii="Arial" w:hAnsi="Arial" w:cs="Arial"/>
        </w:rPr>
      </w:pPr>
    </w:p>
    <w:p w14:paraId="65FB460D" w14:textId="6C4B4427" w:rsidR="009E1AB0" w:rsidRPr="007B2829" w:rsidRDefault="009E1AB0" w:rsidP="001C7BF6">
      <w:pPr>
        <w:spacing w:line="240" w:lineRule="auto"/>
        <w:contextualSpacing/>
        <w:rPr>
          <w:rFonts w:ascii="Arial" w:hAnsi="Arial" w:cs="Arial"/>
          <w:b/>
          <w:bCs/>
        </w:rPr>
      </w:pPr>
      <w:r w:rsidRPr="007B2829">
        <w:rPr>
          <w:rFonts w:ascii="Arial" w:hAnsi="Arial" w:cs="Arial"/>
          <w:b/>
          <w:bCs/>
        </w:rPr>
        <w:t>Reference</w:t>
      </w:r>
      <w:r w:rsidR="00DE07CE" w:rsidRPr="007B2829">
        <w:rPr>
          <w:rFonts w:ascii="Arial" w:hAnsi="Arial" w:cs="Arial"/>
          <w:b/>
          <w:bCs/>
        </w:rPr>
        <w:t>s</w:t>
      </w:r>
      <w:r w:rsidR="007B2829" w:rsidRPr="007B2829">
        <w:rPr>
          <w:rFonts w:ascii="Arial" w:hAnsi="Arial" w:cs="Arial"/>
          <w:b/>
          <w:bCs/>
        </w:rPr>
        <w:t>:</w:t>
      </w:r>
    </w:p>
    <w:p w14:paraId="4AABA1C4" w14:textId="77777777" w:rsidR="00DE07CE" w:rsidRPr="003C19AD" w:rsidRDefault="00DE07CE" w:rsidP="001C7BF6">
      <w:pPr>
        <w:spacing w:line="240" w:lineRule="auto"/>
        <w:contextualSpacing/>
        <w:rPr>
          <w:rFonts w:ascii="Arial" w:hAnsi="Arial" w:cs="Arial"/>
        </w:rPr>
      </w:pPr>
    </w:p>
    <w:p w14:paraId="73BB3D8E" w14:textId="77777777" w:rsidR="009E1AB0" w:rsidRPr="003C19AD" w:rsidRDefault="009E1AB0" w:rsidP="001C7BF6">
      <w:pPr>
        <w:pStyle w:val="ListParagraph"/>
        <w:numPr>
          <w:ilvl w:val="0"/>
          <w:numId w:val="1"/>
        </w:numPr>
        <w:spacing w:line="240" w:lineRule="auto"/>
        <w:rPr>
          <w:rFonts w:ascii="Arial" w:hAnsi="Arial" w:cs="Arial"/>
          <w:color w:val="212121"/>
          <w:shd w:val="clear" w:color="auto" w:fill="FFFFFF"/>
        </w:rPr>
      </w:pPr>
      <w:r w:rsidRPr="003C19AD">
        <w:rPr>
          <w:rFonts w:ascii="Arial" w:hAnsi="Arial" w:cs="Arial"/>
          <w:color w:val="212121"/>
          <w:shd w:val="clear" w:color="auto" w:fill="FFFFFF"/>
          <w:lang w:val="fr-FR"/>
        </w:rPr>
        <w:lastRenderedPageBreak/>
        <w:t xml:space="preserve">Cripps, P. J., &amp; </w:t>
      </w:r>
      <w:proofErr w:type="spellStart"/>
      <w:r w:rsidRPr="003C19AD">
        <w:rPr>
          <w:rFonts w:ascii="Arial" w:hAnsi="Arial" w:cs="Arial"/>
          <w:color w:val="212121"/>
          <w:shd w:val="clear" w:color="auto" w:fill="FFFFFF"/>
          <w:lang w:val="fr-FR"/>
        </w:rPr>
        <w:t>Eustace</w:t>
      </w:r>
      <w:proofErr w:type="spellEnd"/>
      <w:r w:rsidRPr="003C19AD">
        <w:rPr>
          <w:rFonts w:ascii="Arial" w:hAnsi="Arial" w:cs="Arial"/>
          <w:color w:val="212121"/>
          <w:shd w:val="clear" w:color="auto" w:fill="FFFFFF"/>
          <w:lang w:val="fr-FR"/>
        </w:rPr>
        <w:t xml:space="preserve">, R. A. (1999). </w:t>
      </w:r>
      <w:r w:rsidRPr="003C19AD">
        <w:rPr>
          <w:rFonts w:ascii="Arial" w:hAnsi="Arial" w:cs="Arial"/>
          <w:color w:val="212121"/>
          <w:shd w:val="clear" w:color="auto" w:fill="FFFFFF"/>
        </w:rPr>
        <w:t>Factors involved in the prognosis of equine laminitis in the UK. </w:t>
      </w:r>
      <w:r w:rsidRPr="003C19AD">
        <w:rPr>
          <w:rFonts w:ascii="Arial" w:hAnsi="Arial" w:cs="Arial"/>
          <w:i/>
          <w:iCs/>
          <w:color w:val="212121"/>
          <w:shd w:val="clear" w:color="auto" w:fill="FFFFFF"/>
        </w:rPr>
        <w:t>Equine veterinary journal</w:t>
      </w:r>
      <w:r w:rsidRPr="003C19AD">
        <w:rPr>
          <w:rFonts w:ascii="Arial" w:hAnsi="Arial" w:cs="Arial"/>
          <w:color w:val="212121"/>
          <w:shd w:val="clear" w:color="auto" w:fill="FFFFFF"/>
        </w:rPr>
        <w:t>, </w:t>
      </w:r>
      <w:r w:rsidRPr="003C19AD">
        <w:rPr>
          <w:rFonts w:ascii="Arial" w:hAnsi="Arial" w:cs="Arial"/>
          <w:i/>
          <w:iCs/>
          <w:color w:val="212121"/>
          <w:shd w:val="clear" w:color="auto" w:fill="FFFFFF"/>
        </w:rPr>
        <w:t>31</w:t>
      </w:r>
      <w:r w:rsidRPr="003C19AD">
        <w:rPr>
          <w:rFonts w:ascii="Arial" w:hAnsi="Arial" w:cs="Arial"/>
          <w:color w:val="212121"/>
          <w:shd w:val="clear" w:color="auto" w:fill="FFFFFF"/>
        </w:rPr>
        <w:t xml:space="preserve">(5), 433–442. </w:t>
      </w:r>
      <w:hyperlink r:id="rId5" w:history="1">
        <w:r w:rsidRPr="003C19AD">
          <w:rPr>
            <w:rStyle w:val="Hyperlink"/>
            <w:rFonts w:ascii="Arial" w:hAnsi="Arial" w:cs="Arial"/>
            <w:color w:val="000000" w:themeColor="text1"/>
            <w:shd w:val="clear" w:color="auto" w:fill="FFFFFF"/>
          </w:rPr>
          <w:t>https://doi.org/10.1111/j.2042-3306.1999.tb03845.x</w:t>
        </w:r>
      </w:hyperlink>
    </w:p>
    <w:p w14:paraId="713572CF" w14:textId="77777777" w:rsidR="009E1AB0" w:rsidRPr="003C19AD" w:rsidRDefault="009E1AB0" w:rsidP="001C7BF6">
      <w:pPr>
        <w:pStyle w:val="ListParagraph"/>
        <w:numPr>
          <w:ilvl w:val="0"/>
          <w:numId w:val="1"/>
        </w:numPr>
        <w:spacing w:line="240" w:lineRule="auto"/>
        <w:rPr>
          <w:rFonts w:ascii="Arial" w:hAnsi="Arial" w:cs="Arial"/>
          <w:color w:val="212121"/>
          <w:shd w:val="clear" w:color="auto" w:fill="FFFFFF"/>
        </w:rPr>
      </w:pPr>
      <w:r w:rsidRPr="003C19AD">
        <w:rPr>
          <w:rFonts w:ascii="Arial" w:hAnsi="Arial" w:cs="Arial"/>
          <w:color w:val="212121"/>
          <w:shd w:val="clear" w:color="auto" w:fill="FFFFFF"/>
        </w:rPr>
        <w:t>Burrows G. E. (1971). Escherichia coli endotoxemia in the conscious pony. </w:t>
      </w:r>
      <w:r w:rsidRPr="003C19AD">
        <w:rPr>
          <w:rFonts w:ascii="Arial" w:hAnsi="Arial" w:cs="Arial"/>
          <w:i/>
          <w:iCs/>
          <w:color w:val="212121"/>
          <w:shd w:val="clear" w:color="auto" w:fill="FFFFFF"/>
        </w:rPr>
        <w:t>American journal of veterinary research</w:t>
      </w:r>
      <w:r w:rsidRPr="003C19AD">
        <w:rPr>
          <w:rFonts w:ascii="Arial" w:hAnsi="Arial" w:cs="Arial"/>
          <w:color w:val="212121"/>
          <w:shd w:val="clear" w:color="auto" w:fill="FFFFFF"/>
        </w:rPr>
        <w:t>, </w:t>
      </w:r>
      <w:r w:rsidRPr="003C19AD">
        <w:rPr>
          <w:rFonts w:ascii="Arial" w:hAnsi="Arial" w:cs="Arial"/>
          <w:i/>
          <w:iCs/>
          <w:color w:val="212121"/>
          <w:shd w:val="clear" w:color="auto" w:fill="FFFFFF"/>
        </w:rPr>
        <w:t>32</w:t>
      </w:r>
      <w:r w:rsidRPr="003C19AD">
        <w:rPr>
          <w:rFonts w:ascii="Arial" w:hAnsi="Arial" w:cs="Arial"/>
          <w:color w:val="212121"/>
          <w:shd w:val="clear" w:color="auto" w:fill="FFFFFF"/>
        </w:rPr>
        <w:t>(2), 243–248.</w:t>
      </w:r>
    </w:p>
    <w:p w14:paraId="2A826391" w14:textId="77777777" w:rsidR="009E1AB0" w:rsidRPr="003C19AD" w:rsidRDefault="009E1AB0" w:rsidP="001C7BF6">
      <w:pPr>
        <w:pStyle w:val="ListParagraph"/>
        <w:numPr>
          <w:ilvl w:val="0"/>
          <w:numId w:val="1"/>
        </w:numPr>
        <w:spacing w:line="240" w:lineRule="auto"/>
        <w:rPr>
          <w:rFonts w:ascii="Arial" w:hAnsi="Arial" w:cs="Arial"/>
          <w:color w:val="212121"/>
          <w:shd w:val="clear" w:color="auto" w:fill="FFFFFF"/>
        </w:rPr>
      </w:pPr>
      <w:r w:rsidRPr="003C19AD">
        <w:rPr>
          <w:rFonts w:ascii="Arial" w:hAnsi="Arial" w:cs="Arial"/>
          <w:color w:val="212121"/>
          <w:shd w:val="clear" w:color="auto" w:fill="FFFFFF"/>
        </w:rPr>
        <w:t>Ward, D. S., Fessler, J. F., Bottoms, G. D., &amp; Turek, J. (1987). Equine endotoxemia: cardiovascular, eicosanoid, hematologic, blood chemical, and plasma enzyme alterations. </w:t>
      </w:r>
      <w:r w:rsidRPr="003C19AD">
        <w:rPr>
          <w:rFonts w:ascii="Arial" w:hAnsi="Arial" w:cs="Arial"/>
          <w:i/>
          <w:iCs/>
          <w:color w:val="212121"/>
          <w:shd w:val="clear" w:color="auto" w:fill="FFFFFF"/>
        </w:rPr>
        <w:t>American journal of veterinary research</w:t>
      </w:r>
      <w:r w:rsidRPr="003C19AD">
        <w:rPr>
          <w:rFonts w:ascii="Arial" w:hAnsi="Arial" w:cs="Arial"/>
          <w:color w:val="212121"/>
          <w:shd w:val="clear" w:color="auto" w:fill="FFFFFF"/>
        </w:rPr>
        <w:t>, </w:t>
      </w:r>
      <w:r w:rsidRPr="003C19AD">
        <w:rPr>
          <w:rFonts w:ascii="Arial" w:hAnsi="Arial" w:cs="Arial"/>
          <w:i/>
          <w:iCs/>
          <w:color w:val="212121"/>
          <w:shd w:val="clear" w:color="auto" w:fill="FFFFFF"/>
        </w:rPr>
        <w:t>48</w:t>
      </w:r>
      <w:r w:rsidRPr="003C19AD">
        <w:rPr>
          <w:rFonts w:ascii="Arial" w:hAnsi="Arial" w:cs="Arial"/>
          <w:color w:val="212121"/>
          <w:shd w:val="clear" w:color="auto" w:fill="FFFFFF"/>
        </w:rPr>
        <w:t>(7), 1150–1156.</w:t>
      </w:r>
    </w:p>
    <w:p w14:paraId="67326899" w14:textId="77777777" w:rsidR="009E1AB0" w:rsidRPr="003C19AD" w:rsidRDefault="009E1AB0" w:rsidP="001C7BF6">
      <w:pPr>
        <w:pStyle w:val="ListParagraph"/>
        <w:numPr>
          <w:ilvl w:val="0"/>
          <w:numId w:val="1"/>
        </w:numPr>
        <w:spacing w:line="240" w:lineRule="auto"/>
        <w:rPr>
          <w:rFonts w:ascii="Arial" w:hAnsi="Arial" w:cs="Arial"/>
          <w:color w:val="212121"/>
          <w:shd w:val="clear" w:color="auto" w:fill="FFFFFF"/>
        </w:rPr>
      </w:pPr>
      <w:r w:rsidRPr="003C19AD">
        <w:rPr>
          <w:rFonts w:ascii="Arial" w:hAnsi="Arial" w:cs="Arial"/>
          <w:color w:val="212121"/>
          <w:shd w:val="clear" w:color="auto" w:fill="FFFFFF"/>
        </w:rPr>
        <w:t>French, K. R., &amp; Pollitt, C. C. (2004). Equine laminitis: loss of hemidesmosomes in hoof secondary epidermal lamellae correlates to dose in an oligofructose induction model: an ultrastructural study. </w:t>
      </w:r>
      <w:r w:rsidRPr="003C19AD">
        <w:rPr>
          <w:rFonts w:ascii="Arial" w:hAnsi="Arial" w:cs="Arial"/>
          <w:i/>
          <w:iCs/>
          <w:color w:val="212121"/>
          <w:shd w:val="clear" w:color="auto" w:fill="FFFFFF"/>
        </w:rPr>
        <w:t>Equine veterinary journal</w:t>
      </w:r>
      <w:r w:rsidRPr="003C19AD">
        <w:rPr>
          <w:rFonts w:ascii="Arial" w:hAnsi="Arial" w:cs="Arial"/>
          <w:color w:val="212121"/>
          <w:shd w:val="clear" w:color="auto" w:fill="FFFFFF"/>
        </w:rPr>
        <w:t>, </w:t>
      </w:r>
      <w:r w:rsidRPr="003C19AD">
        <w:rPr>
          <w:rFonts w:ascii="Arial" w:hAnsi="Arial" w:cs="Arial"/>
          <w:i/>
          <w:iCs/>
          <w:color w:val="212121"/>
          <w:shd w:val="clear" w:color="auto" w:fill="FFFFFF"/>
        </w:rPr>
        <w:t>36</w:t>
      </w:r>
      <w:r w:rsidRPr="003C19AD">
        <w:rPr>
          <w:rFonts w:ascii="Arial" w:hAnsi="Arial" w:cs="Arial"/>
          <w:color w:val="212121"/>
          <w:shd w:val="clear" w:color="auto" w:fill="FFFFFF"/>
        </w:rPr>
        <w:t>(3), 230–</w:t>
      </w:r>
      <w:r w:rsidRPr="003C19AD">
        <w:rPr>
          <w:rFonts w:ascii="Arial" w:hAnsi="Arial" w:cs="Arial"/>
          <w:color w:val="000000" w:themeColor="text1"/>
          <w:shd w:val="clear" w:color="auto" w:fill="FFFFFF"/>
        </w:rPr>
        <w:t xml:space="preserve">235. </w:t>
      </w:r>
      <w:hyperlink r:id="rId6" w:history="1">
        <w:r w:rsidRPr="003C19AD">
          <w:rPr>
            <w:rStyle w:val="Hyperlink"/>
            <w:rFonts w:ascii="Arial" w:hAnsi="Arial" w:cs="Arial"/>
            <w:color w:val="000000" w:themeColor="text1"/>
            <w:shd w:val="clear" w:color="auto" w:fill="FFFFFF"/>
          </w:rPr>
          <w:t>https://doi.org/10.2746/0425164044877125</w:t>
        </w:r>
      </w:hyperlink>
    </w:p>
    <w:p w14:paraId="13E394E5" w14:textId="77777777" w:rsidR="009E1AB0" w:rsidRPr="003C19AD" w:rsidRDefault="009E1AB0" w:rsidP="001C7BF6">
      <w:pPr>
        <w:spacing w:line="240" w:lineRule="auto"/>
        <w:contextualSpacing/>
        <w:rPr>
          <w:rFonts w:ascii="Arial" w:hAnsi="Arial" w:cs="Arial"/>
        </w:rPr>
      </w:pPr>
    </w:p>
    <w:p w14:paraId="4352A229" w14:textId="77777777" w:rsidR="0024068C" w:rsidRPr="003C19AD" w:rsidRDefault="0024068C" w:rsidP="001C7BF6">
      <w:pPr>
        <w:spacing w:line="240" w:lineRule="auto"/>
        <w:contextualSpacing/>
        <w:rPr>
          <w:rFonts w:ascii="Arial" w:hAnsi="Arial" w:cs="Arial"/>
        </w:rPr>
      </w:pPr>
    </w:p>
    <w:sectPr w:rsidR="0024068C" w:rsidRPr="003C19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6357"/>
    <w:multiLevelType w:val="hybridMultilevel"/>
    <w:tmpl w:val="08CCB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448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AB0"/>
    <w:rsid w:val="00007D93"/>
    <w:rsid w:val="0001679A"/>
    <w:rsid w:val="00032B09"/>
    <w:rsid w:val="0007309C"/>
    <w:rsid w:val="000A4889"/>
    <w:rsid w:val="000A504B"/>
    <w:rsid w:val="000B55F6"/>
    <w:rsid w:val="000D41BB"/>
    <w:rsid w:val="00115D70"/>
    <w:rsid w:val="00155FED"/>
    <w:rsid w:val="00182893"/>
    <w:rsid w:val="001C1D15"/>
    <w:rsid w:val="001C7BF6"/>
    <w:rsid w:val="00210C02"/>
    <w:rsid w:val="00235503"/>
    <w:rsid w:val="0024068C"/>
    <w:rsid w:val="00245EB7"/>
    <w:rsid w:val="0025231E"/>
    <w:rsid w:val="002745C4"/>
    <w:rsid w:val="00281C38"/>
    <w:rsid w:val="002B1291"/>
    <w:rsid w:val="00321B8F"/>
    <w:rsid w:val="003276D3"/>
    <w:rsid w:val="0036693B"/>
    <w:rsid w:val="0038253B"/>
    <w:rsid w:val="0039685B"/>
    <w:rsid w:val="003B0061"/>
    <w:rsid w:val="003B0F83"/>
    <w:rsid w:val="003B3A23"/>
    <w:rsid w:val="003B404E"/>
    <w:rsid w:val="003C19AD"/>
    <w:rsid w:val="003E550C"/>
    <w:rsid w:val="003F2B0E"/>
    <w:rsid w:val="00403F15"/>
    <w:rsid w:val="00446C78"/>
    <w:rsid w:val="00455513"/>
    <w:rsid w:val="00456482"/>
    <w:rsid w:val="00457D12"/>
    <w:rsid w:val="004638E1"/>
    <w:rsid w:val="0046644F"/>
    <w:rsid w:val="004730A0"/>
    <w:rsid w:val="00475119"/>
    <w:rsid w:val="00486B1D"/>
    <w:rsid w:val="004A0614"/>
    <w:rsid w:val="004D3E27"/>
    <w:rsid w:val="0050360C"/>
    <w:rsid w:val="00525C36"/>
    <w:rsid w:val="005779E9"/>
    <w:rsid w:val="00587E3D"/>
    <w:rsid w:val="005A5CD2"/>
    <w:rsid w:val="005D124F"/>
    <w:rsid w:val="005F78EC"/>
    <w:rsid w:val="006054CC"/>
    <w:rsid w:val="00611411"/>
    <w:rsid w:val="0064658B"/>
    <w:rsid w:val="006B0C67"/>
    <w:rsid w:val="006F6BE4"/>
    <w:rsid w:val="00711D68"/>
    <w:rsid w:val="0073498D"/>
    <w:rsid w:val="007B2829"/>
    <w:rsid w:val="007F2BC3"/>
    <w:rsid w:val="007F7D04"/>
    <w:rsid w:val="008626BE"/>
    <w:rsid w:val="00890779"/>
    <w:rsid w:val="00893B7A"/>
    <w:rsid w:val="008A18DF"/>
    <w:rsid w:val="008B4A5E"/>
    <w:rsid w:val="008D25B6"/>
    <w:rsid w:val="008D5156"/>
    <w:rsid w:val="008E6122"/>
    <w:rsid w:val="00963B5E"/>
    <w:rsid w:val="009836D7"/>
    <w:rsid w:val="009A146B"/>
    <w:rsid w:val="009A7783"/>
    <w:rsid w:val="009E1AB0"/>
    <w:rsid w:val="009E2B4C"/>
    <w:rsid w:val="009E491E"/>
    <w:rsid w:val="009E5A36"/>
    <w:rsid w:val="00A54631"/>
    <w:rsid w:val="00A87A8F"/>
    <w:rsid w:val="00A95A34"/>
    <w:rsid w:val="00A967F0"/>
    <w:rsid w:val="00AB02CF"/>
    <w:rsid w:val="00B24841"/>
    <w:rsid w:val="00B42A93"/>
    <w:rsid w:val="00B61543"/>
    <w:rsid w:val="00B85A85"/>
    <w:rsid w:val="00BD0FC8"/>
    <w:rsid w:val="00BD59F2"/>
    <w:rsid w:val="00BF37AC"/>
    <w:rsid w:val="00C73F45"/>
    <w:rsid w:val="00C7404B"/>
    <w:rsid w:val="00C866EF"/>
    <w:rsid w:val="00C916BF"/>
    <w:rsid w:val="00CB3535"/>
    <w:rsid w:val="00CE7660"/>
    <w:rsid w:val="00D13527"/>
    <w:rsid w:val="00D34DB7"/>
    <w:rsid w:val="00D50EA2"/>
    <w:rsid w:val="00DE07CE"/>
    <w:rsid w:val="00E502F8"/>
    <w:rsid w:val="00EA081F"/>
    <w:rsid w:val="00EA6900"/>
    <w:rsid w:val="00EE2AE5"/>
    <w:rsid w:val="00EE5603"/>
    <w:rsid w:val="00F43D1F"/>
    <w:rsid w:val="00F56609"/>
    <w:rsid w:val="00FC538F"/>
    <w:rsid w:val="00FF0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EC581"/>
  <w15:chartTrackingRefBased/>
  <w15:docId w15:val="{40FDC573-6675-EB47-B171-6AAF05EF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B0"/>
  </w:style>
  <w:style w:type="paragraph" w:styleId="Heading1">
    <w:name w:val="heading 1"/>
    <w:basedOn w:val="Normal"/>
    <w:next w:val="Normal"/>
    <w:link w:val="Heading1Char"/>
    <w:uiPriority w:val="9"/>
    <w:qFormat/>
    <w:rsid w:val="009E1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AB0"/>
    <w:rPr>
      <w:rFonts w:eastAsiaTheme="majorEastAsia" w:cstheme="majorBidi"/>
      <w:color w:val="272727" w:themeColor="text1" w:themeTint="D8"/>
    </w:rPr>
  </w:style>
  <w:style w:type="paragraph" w:styleId="Title">
    <w:name w:val="Title"/>
    <w:basedOn w:val="Normal"/>
    <w:next w:val="Normal"/>
    <w:link w:val="TitleChar"/>
    <w:uiPriority w:val="10"/>
    <w:qFormat/>
    <w:rsid w:val="009E1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AB0"/>
    <w:pPr>
      <w:spacing w:before="160"/>
      <w:jc w:val="center"/>
    </w:pPr>
    <w:rPr>
      <w:i/>
      <w:iCs/>
      <w:color w:val="404040" w:themeColor="text1" w:themeTint="BF"/>
    </w:rPr>
  </w:style>
  <w:style w:type="character" w:customStyle="1" w:styleId="QuoteChar">
    <w:name w:val="Quote Char"/>
    <w:basedOn w:val="DefaultParagraphFont"/>
    <w:link w:val="Quote"/>
    <w:uiPriority w:val="29"/>
    <w:rsid w:val="009E1AB0"/>
    <w:rPr>
      <w:i/>
      <w:iCs/>
      <w:color w:val="404040" w:themeColor="text1" w:themeTint="BF"/>
    </w:rPr>
  </w:style>
  <w:style w:type="paragraph" w:styleId="ListParagraph">
    <w:name w:val="List Paragraph"/>
    <w:basedOn w:val="Normal"/>
    <w:uiPriority w:val="34"/>
    <w:qFormat/>
    <w:rsid w:val="009E1AB0"/>
    <w:pPr>
      <w:ind w:left="720"/>
      <w:contextualSpacing/>
    </w:pPr>
  </w:style>
  <w:style w:type="character" w:styleId="IntenseEmphasis">
    <w:name w:val="Intense Emphasis"/>
    <w:basedOn w:val="DefaultParagraphFont"/>
    <w:uiPriority w:val="21"/>
    <w:qFormat/>
    <w:rsid w:val="009E1AB0"/>
    <w:rPr>
      <w:i/>
      <w:iCs/>
      <w:color w:val="0F4761" w:themeColor="accent1" w:themeShade="BF"/>
    </w:rPr>
  </w:style>
  <w:style w:type="paragraph" w:styleId="IntenseQuote">
    <w:name w:val="Intense Quote"/>
    <w:basedOn w:val="Normal"/>
    <w:next w:val="Normal"/>
    <w:link w:val="IntenseQuoteChar"/>
    <w:uiPriority w:val="30"/>
    <w:qFormat/>
    <w:rsid w:val="009E1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AB0"/>
    <w:rPr>
      <w:i/>
      <w:iCs/>
      <w:color w:val="0F4761" w:themeColor="accent1" w:themeShade="BF"/>
    </w:rPr>
  </w:style>
  <w:style w:type="character" w:styleId="IntenseReference">
    <w:name w:val="Intense Reference"/>
    <w:basedOn w:val="DefaultParagraphFont"/>
    <w:uiPriority w:val="32"/>
    <w:qFormat/>
    <w:rsid w:val="009E1AB0"/>
    <w:rPr>
      <w:b/>
      <w:bCs/>
      <w:smallCaps/>
      <w:color w:val="0F4761" w:themeColor="accent1" w:themeShade="BF"/>
      <w:spacing w:val="5"/>
    </w:rPr>
  </w:style>
  <w:style w:type="character" w:customStyle="1" w:styleId="apple-converted-space">
    <w:name w:val="apple-converted-space"/>
    <w:basedOn w:val="DefaultParagraphFont"/>
    <w:rsid w:val="009E1AB0"/>
  </w:style>
  <w:style w:type="character" w:customStyle="1" w:styleId="outlook-search-highlight">
    <w:name w:val="outlook-search-highlight"/>
    <w:basedOn w:val="DefaultParagraphFont"/>
    <w:rsid w:val="009E1AB0"/>
  </w:style>
  <w:style w:type="character" w:styleId="Hyperlink">
    <w:name w:val="Hyperlink"/>
    <w:basedOn w:val="DefaultParagraphFont"/>
    <w:uiPriority w:val="99"/>
    <w:unhideWhenUsed/>
    <w:rsid w:val="009E1AB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2746/0425164044877125" TargetMode="External"/><Relationship Id="rId5" Type="http://schemas.openxmlformats.org/officeDocument/2006/relationships/hyperlink" Target="https://doi.org/10.1111/j.2042-3306.1999.tb03845.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Ines Johan Usimaki</dc:creator>
  <cp:keywords/>
  <dc:description/>
  <cp:lastModifiedBy>Alexandra Ines Johan Usimaki</cp:lastModifiedBy>
  <cp:revision>45</cp:revision>
  <dcterms:created xsi:type="dcterms:W3CDTF">2025-11-01T16:51:00Z</dcterms:created>
  <dcterms:modified xsi:type="dcterms:W3CDTF">2025-11-01T21:48:00Z</dcterms:modified>
</cp:coreProperties>
</file>