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96F32" w:rsidRDefault="00000000">
      <w:pPr>
        <w:spacing w:after="0" w:line="240" w:lineRule="auto"/>
        <w:rPr>
          <w:rFonts w:ascii="Arial" w:eastAsia="Arial" w:hAnsi="Arial" w:cs="Arial"/>
          <w:b/>
          <w:sz w:val="24"/>
          <w:szCs w:val="24"/>
        </w:rPr>
      </w:pPr>
      <w:r>
        <w:rPr>
          <w:rFonts w:ascii="Arial" w:eastAsia="Arial" w:hAnsi="Arial" w:cs="Arial"/>
          <w:b/>
          <w:sz w:val="24"/>
          <w:szCs w:val="24"/>
        </w:rPr>
        <w:t>Evaluation of Spread of Two Volumes Injected in the Calcanean Tendon Sheath Using Ultrasound Guidance</w:t>
      </w:r>
    </w:p>
    <w:p w14:paraId="00000002" w14:textId="77777777" w:rsidR="00896F32" w:rsidRDefault="00896F32">
      <w:pPr>
        <w:spacing w:after="0" w:line="240" w:lineRule="auto"/>
        <w:rPr>
          <w:rFonts w:ascii="Arial" w:eastAsia="Arial" w:hAnsi="Arial" w:cs="Arial"/>
          <w:b/>
          <w:sz w:val="24"/>
          <w:szCs w:val="24"/>
        </w:rPr>
      </w:pPr>
    </w:p>
    <w:p w14:paraId="00000003" w14:textId="77777777" w:rsidR="00896F32" w:rsidRDefault="00000000">
      <w:pPr>
        <w:spacing w:after="0" w:line="240" w:lineRule="auto"/>
        <w:rPr>
          <w:rFonts w:ascii="Arial" w:eastAsia="Arial" w:hAnsi="Arial" w:cs="Arial"/>
          <w:sz w:val="24"/>
          <w:szCs w:val="24"/>
        </w:rPr>
      </w:pPr>
      <w:r>
        <w:rPr>
          <w:rFonts w:ascii="Arial" w:eastAsia="Arial" w:hAnsi="Arial" w:cs="Arial"/>
          <w:b/>
          <w:sz w:val="24"/>
          <w:szCs w:val="24"/>
        </w:rPr>
        <w:t>Objective:</w:t>
      </w:r>
      <w:r>
        <w:rPr>
          <w:rFonts w:ascii="Arial" w:eastAsia="Arial" w:hAnsi="Arial" w:cs="Arial"/>
          <w:sz w:val="24"/>
          <w:szCs w:val="24"/>
        </w:rPr>
        <w:t xml:space="preserve"> Injection of various compounds is frequently used in the treatment of tendinopathies in canine and equine patients. Despite the use of intralesional injections in the treatment of veterinary tendinopathies, no established recommendation for injection dose has been established. In equine patients, many intralesional injection volumes have been used with common volumes between 1-3mL</w:t>
      </w:r>
      <w:r>
        <w:rPr>
          <w:rFonts w:ascii="Arial" w:eastAsia="Arial" w:hAnsi="Arial" w:cs="Arial"/>
          <w:sz w:val="24"/>
          <w:szCs w:val="24"/>
          <w:vertAlign w:val="superscript"/>
        </w:rPr>
        <w:t>2, 4, 5, 6</w:t>
      </w:r>
      <w:r>
        <w:rPr>
          <w:rFonts w:ascii="Arial" w:eastAsia="Arial" w:hAnsi="Arial" w:cs="Arial"/>
          <w:sz w:val="24"/>
          <w:szCs w:val="24"/>
        </w:rPr>
        <w:t>. One study in human cadavers reported successful injection of 5mL of dye into the Achilles paratenon</w:t>
      </w:r>
      <w:r>
        <w:rPr>
          <w:rFonts w:ascii="Arial" w:eastAsia="Arial" w:hAnsi="Arial" w:cs="Arial"/>
          <w:sz w:val="24"/>
          <w:szCs w:val="24"/>
          <w:vertAlign w:val="superscript"/>
        </w:rPr>
        <w:t>3</w:t>
      </w:r>
      <w:r>
        <w:rPr>
          <w:rFonts w:ascii="Arial" w:eastAsia="Arial" w:hAnsi="Arial" w:cs="Arial"/>
          <w:sz w:val="24"/>
          <w:szCs w:val="24"/>
        </w:rPr>
        <w:t>. In canine patients, anecdotal reports suggest difficulty injecting greater than 0.5-1mL of injectate into a tendinous lesion</w:t>
      </w:r>
      <w:r>
        <w:rPr>
          <w:rFonts w:ascii="Arial" w:eastAsia="Arial" w:hAnsi="Arial" w:cs="Arial"/>
          <w:sz w:val="24"/>
          <w:szCs w:val="24"/>
          <w:vertAlign w:val="superscript"/>
        </w:rPr>
        <w:t>1</w:t>
      </w:r>
      <w:r>
        <w:rPr>
          <w:rFonts w:ascii="Arial" w:eastAsia="Arial" w:hAnsi="Arial" w:cs="Arial"/>
          <w:sz w:val="24"/>
          <w:szCs w:val="24"/>
        </w:rPr>
        <w:t>. The purpose of this study was to evaluate the safety and spread of two volumes (0.25mL and 0.5mL) injected into the calcanean tendon sheath of canines. We hypothesized that India ink would be successfully injected at both volumes with ultrasound guidance into the tendon sheath without tendon damage and would spread throughout the entire tendon at the higher injection volume.</w:t>
      </w:r>
    </w:p>
    <w:p w14:paraId="00000004" w14:textId="77777777" w:rsidR="00896F32" w:rsidRDefault="00896F32">
      <w:pPr>
        <w:spacing w:after="0" w:line="240" w:lineRule="auto"/>
        <w:rPr>
          <w:rFonts w:ascii="Arial" w:eastAsia="Arial" w:hAnsi="Arial" w:cs="Arial"/>
          <w:sz w:val="24"/>
          <w:szCs w:val="24"/>
        </w:rPr>
      </w:pPr>
    </w:p>
    <w:p w14:paraId="00000005" w14:textId="77777777" w:rsidR="00896F32" w:rsidRDefault="00000000">
      <w:pPr>
        <w:spacing w:after="0" w:line="240" w:lineRule="auto"/>
        <w:rPr>
          <w:rFonts w:ascii="Arial" w:eastAsia="Arial" w:hAnsi="Arial" w:cs="Arial"/>
          <w:sz w:val="24"/>
          <w:szCs w:val="24"/>
        </w:rPr>
      </w:pPr>
      <w:r>
        <w:rPr>
          <w:rFonts w:ascii="Arial" w:eastAsia="Arial" w:hAnsi="Arial" w:cs="Arial"/>
          <w:b/>
          <w:sz w:val="24"/>
          <w:szCs w:val="24"/>
        </w:rPr>
        <w:t xml:space="preserve">Study Design: </w:t>
      </w:r>
      <w:r>
        <w:rPr>
          <w:rFonts w:ascii="Arial" w:eastAsia="Arial" w:hAnsi="Arial" w:cs="Arial"/>
          <w:sz w:val="24"/>
          <w:szCs w:val="24"/>
        </w:rPr>
        <w:t>Five canine cadavers ranging from 26.8-45.5kg with both rear limbs present and without masses near the calcanean tendon were obtained. Rear limbs were randomized to receive either 0.25mL or 0.5mL of India ink in the first limb, with the second limb receiving the opposite volume. A medial view of the calcanean tendon was obtained via ultrasound guidance. The needle was visualized within the calcanean tendon sheath on ultrasound prior to injection, with all injections performed by an ACVSMR resident experienced in ultrasound guided injection. The tendon was massaged post-injection to encourage distribution of the injectate. Tendons were dissected and isolated from surrounding soft tissues and removed at the level of the musculotendinous junction and the calcaneus. Images were taken of the dissected tendon with a ruler for image analysis to calculate percent coverage. They were then placed in an open plastic bag inside of a refrigerator and dried for 24-72 hours to allow the India ink to dry prior to sectioning to evaluate for intratendinous injection determined by the presence of India ink within the tendon. The entire tendon was measured three times, and the average was used for calculations. The ink was measured from the most proximal point to the most distal point three times, and the average of these measurements was used for calculations. A t-Test was then used to compare the two volume groups.</w:t>
      </w:r>
    </w:p>
    <w:p w14:paraId="00000006" w14:textId="77777777" w:rsidR="00896F32" w:rsidRDefault="00896F32">
      <w:pPr>
        <w:spacing w:after="0" w:line="240" w:lineRule="auto"/>
        <w:rPr>
          <w:rFonts w:ascii="Arial" w:eastAsia="Arial" w:hAnsi="Arial" w:cs="Arial"/>
          <w:sz w:val="24"/>
          <w:szCs w:val="24"/>
        </w:rPr>
      </w:pPr>
    </w:p>
    <w:p w14:paraId="00000007" w14:textId="77777777" w:rsidR="00896F32" w:rsidRDefault="00000000">
      <w:pPr>
        <w:spacing w:after="0" w:line="240" w:lineRule="auto"/>
        <w:rPr>
          <w:rFonts w:ascii="Arial" w:eastAsia="Arial" w:hAnsi="Arial" w:cs="Arial"/>
          <w:sz w:val="24"/>
          <w:szCs w:val="24"/>
        </w:rPr>
      </w:pPr>
      <w:r>
        <w:rPr>
          <w:rFonts w:ascii="Arial" w:eastAsia="Arial" w:hAnsi="Arial" w:cs="Arial"/>
          <w:b/>
          <w:sz w:val="24"/>
          <w:szCs w:val="24"/>
        </w:rPr>
        <w:t>Results:</w:t>
      </w:r>
      <w:r>
        <w:rPr>
          <w:rFonts w:ascii="Arial" w:eastAsia="Arial" w:hAnsi="Arial" w:cs="Arial"/>
          <w:sz w:val="24"/>
          <w:szCs w:val="24"/>
        </w:rPr>
        <w:t xml:space="preserve"> There was a significant difference in the percentage of spread of injectate throughout the calcanean tendon from proximal to distal between injection volumes (P=0.006). The higher injection volume had an average of 75.18% spread from proximal to distal, and the lower volume had an average of 44.1% spread from proximal to distal. No injection reached 100% spread throughout the tendon, with the highest percentage of spread being 78.9% with a 0.5mL injection. 3/5 tendons injected with 0.5mL had evidence of intratendinous damage upon sectioning, while 0/5 tendons injected with 0.25mL had evidence of damage to the tendon.</w:t>
      </w:r>
    </w:p>
    <w:p w14:paraId="00000008" w14:textId="77777777" w:rsidR="00896F32" w:rsidRDefault="00896F32">
      <w:pPr>
        <w:spacing w:after="0" w:line="240" w:lineRule="auto"/>
        <w:rPr>
          <w:rFonts w:ascii="Arial" w:eastAsia="Arial" w:hAnsi="Arial" w:cs="Arial"/>
          <w:sz w:val="24"/>
          <w:szCs w:val="24"/>
        </w:rPr>
      </w:pPr>
    </w:p>
    <w:p w14:paraId="00000009" w14:textId="77777777" w:rsidR="00896F32" w:rsidRDefault="00000000">
      <w:pPr>
        <w:spacing w:after="0" w:line="240" w:lineRule="auto"/>
        <w:rPr>
          <w:rFonts w:ascii="Arial" w:eastAsia="Arial" w:hAnsi="Arial" w:cs="Arial"/>
          <w:sz w:val="24"/>
          <w:szCs w:val="24"/>
        </w:rPr>
      </w:pPr>
      <w:r>
        <w:rPr>
          <w:rFonts w:ascii="Arial" w:eastAsia="Arial" w:hAnsi="Arial" w:cs="Arial"/>
          <w:b/>
          <w:sz w:val="24"/>
          <w:szCs w:val="24"/>
        </w:rPr>
        <w:lastRenderedPageBreak/>
        <w:t>Conclusion:</w:t>
      </w:r>
      <w:r>
        <w:rPr>
          <w:rFonts w:ascii="Arial" w:eastAsia="Arial" w:hAnsi="Arial" w:cs="Arial"/>
          <w:sz w:val="24"/>
          <w:szCs w:val="24"/>
        </w:rPr>
        <w:t xml:space="preserve"> While our hypothesis that a peritendinous injection of 0.5mL would spread throughout the entire calcanean tendon sheath was not supported by our data, there was significantly greater spread of injectate throughout the calcanean tendon sheath when injected at the higher volume. This may be clinically advantageous for the injection of biologic agents in calcanean tendon disease. However, three tendons injected at the higher volume had evidence of intratendinous injection upon sectioning compared to zero tendons injected at a lower volume. Intratendonous injection can be harmful and should be avoided when possible. An alternative hypothesis is that because this was a cadaver model, ink at higher pressure inside the tendon sheath may have been pushed into the needle track. Histopathology would aid in determining true tendon damage. Given the limited sample size in this study, further specimens are needed to determine true significance of both the influence of injection volume on both percentage of spread and risk of intratendinous damage. </w:t>
      </w:r>
    </w:p>
    <w:p w14:paraId="0000000A" w14:textId="77777777" w:rsidR="00896F32" w:rsidRDefault="00896F32">
      <w:pPr>
        <w:spacing w:after="0" w:line="240" w:lineRule="auto"/>
        <w:rPr>
          <w:rFonts w:ascii="Arial" w:eastAsia="Arial" w:hAnsi="Arial" w:cs="Arial"/>
          <w:sz w:val="24"/>
          <w:szCs w:val="24"/>
        </w:rPr>
      </w:pPr>
    </w:p>
    <w:p w14:paraId="0000000B" w14:textId="77777777" w:rsidR="00896F32" w:rsidRDefault="00000000">
      <w:pPr>
        <w:spacing w:after="0" w:line="240" w:lineRule="auto"/>
        <w:rPr>
          <w:rFonts w:ascii="Arial" w:eastAsia="Arial" w:hAnsi="Arial" w:cs="Arial"/>
          <w:sz w:val="24"/>
          <w:szCs w:val="24"/>
        </w:rPr>
      </w:pPr>
      <w:r>
        <w:rPr>
          <w:rFonts w:ascii="Arial" w:eastAsia="Arial" w:hAnsi="Arial" w:cs="Arial"/>
          <w:b/>
          <w:sz w:val="24"/>
          <w:szCs w:val="24"/>
        </w:rPr>
        <w:t>References:</w:t>
      </w:r>
      <w:r>
        <w:rPr>
          <w:rFonts w:ascii="Arial" w:eastAsia="Arial" w:hAnsi="Arial" w:cs="Arial"/>
          <w:sz w:val="24"/>
          <w:szCs w:val="24"/>
        </w:rPr>
        <w:t xml:space="preserve"> </w:t>
      </w:r>
    </w:p>
    <w:p w14:paraId="0000000C" w14:textId="77777777" w:rsidR="00896F32"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Boharski RA, Wheeler JL, Cross AR, Jackson J, Peterson S. Hybrid, transarticular external fixation with platelet-rich plasma injection as a treatment for partial calcaneal tendon disruption in dogs without primary tenorrhaphy. Veterinary Surgery. 2024; 53(8): 1390-1398. doi:10.1111/vsu.14164</w:t>
      </w:r>
    </w:p>
    <w:p w14:paraId="0000000D" w14:textId="77777777" w:rsidR="00896F32"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Geburek, F., Lietzau, M., Beineke, A. et al. Effect of a single injection of autologous conditioned serum (ACS) on tendon healing in equine naturally occurring tendinopathies. Stem Cell Res Ther 6, 126 (2015). </w:t>
      </w:r>
      <w:hyperlink r:id="rId6">
        <w:r>
          <w:rPr>
            <w:rFonts w:ascii="Arial" w:eastAsia="Arial" w:hAnsi="Arial" w:cs="Arial"/>
            <w:color w:val="000000"/>
            <w:sz w:val="24"/>
            <w:szCs w:val="24"/>
          </w:rPr>
          <w:t>https://doi.org/10.1186/s13287-015-0115-0</w:t>
        </w:r>
      </w:hyperlink>
    </w:p>
    <w:p w14:paraId="0000000E" w14:textId="77777777" w:rsidR="00896F32"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Ricci V, Mezian K, Chang KV, Tamborrini G, Jačisko J, Naňka O, Özçakar L. Ultrasound-guided injection of the achilles paratenon: A cadaveric investigation. Foot Ankle Surg. 2024 Jun;30(4):313-318. doi: 10.1016/j.fas.2024.01.005. Epub 2024 Jan 20. PMID: 38296758.</w:t>
      </w:r>
    </w:p>
    <w:p w14:paraId="0000000F" w14:textId="77777777" w:rsidR="00896F32"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Gaesser AM, Underwood C, Linardi RL, Even KM, Reef VB, Shetye SS, Mauck RL, King WJ, Engiles JB and Ortved KF (2021) Evaluation of Autologous Protein Solution Injection for Treatment of Superficial Digital Flexor Tendonitis in an Equine Model. Front. Vet. Sci. 8:697551. doi: 10.3389/fvets.2021.697551</w:t>
      </w:r>
    </w:p>
    <w:p w14:paraId="00000010" w14:textId="77777777" w:rsidR="00896F32"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bookmarkStart w:id="0" w:name="_heading=h.oyzrg85z434q" w:colFirst="0" w:colLast="0"/>
      <w:bookmarkEnd w:id="0"/>
      <w:r>
        <w:rPr>
          <w:rFonts w:ascii="Arial" w:eastAsia="Arial" w:hAnsi="Arial" w:cs="Arial"/>
          <w:color w:val="000000"/>
          <w:sz w:val="24"/>
          <w:szCs w:val="24"/>
        </w:rPr>
        <w:t xml:space="preserve">Geburek, F., Gaus, M., van Schie, H. T. M., Rohn, K., &amp; Stadler, P. M. (2016, September 7). Effect of intralesional platelet-rich plasma (PRP) treatment on clinical and ultrasonographic parameters in equine naturally occurring superficial digital flexor tendinopathies – a randomized prospective controlled clinical trial. BMC Veterinary Research. </w:t>
      </w:r>
      <w:hyperlink r:id="rId7">
        <w:r>
          <w:rPr>
            <w:rFonts w:ascii="Arial" w:eastAsia="Arial" w:hAnsi="Arial" w:cs="Arial"/>
            <w:color w:val="000000"/>
            <w:sz w:val="24"/>
            <w:szCs w:val="24"/>
          </w:rPr>
          <w:t>https://bmcvetres.biomedcentral.com/track/pdf/10.1186/s12917-016-0826-1.pdf</w:t>
        </w:r>
      </w:hyperlink>
    </w:p>
    <w:p w14:paraId="00000011" w14:textId="77777777" w:rsidR="00896F32"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Muñoz, </w:t>
      </w:r>
      <w:proofErr w:type="gramStart"/>
      <w:r>
        <w:rPr>
          <w:rFonts w:ascii="Arial" w:eastAsia="Arial" w:hAnsi="Arial" w:cs="Arial"/>
          <w:color w:val="000000"/>
          <w:sz w:val="24"/>
          <w:szCs w:val="24"/>
        </w:rPr>
        <w:t>A.Merchan</w:t>
      </w:r>
      <w:proofErr w:type="gramEnd"/>
      <w:r>
        <w:rPr>
          <w:rFonts w:ascii="Arial" w:eastAsia="Arial" w:hAnsi="Arial" w:cs="Arial"/>
          <w:color w:val="000000"/>
          <w:sz w:val="24"/>
          <w:szCs w:val="24"/>
        </w:rPr>
        <w:t xml:space="preserve">, Coté, N., Koch, T., Mehrpouyan, S., Alizadeh, A.H., Russell, K.A. et al. (2025) Repeated injection of pooled frozen allogeneic umbilical cord blood mesenchymal stromal cells in 5 flat-racing horses. Equine Veterinary Education, 00, 1–12. Available from: </w:t>
      </w:r>
      <w:hyperlink r:id="rId8">
        <w:r>
          <w:rPr>
            <w:rFonts w:ascii="Arial" w:eastAsia="Arial" w:hAnsi="Arial" w:cs="Arial"/>
            <w:color w:val="000000"/>
            <w:sz w:val="24"/>
            <w:szCs w:val="24"/>
          </w:rPr>
          <w:t>https://doi.org/10.1111/eve.14181</w:t>
        </w:r>
      </w:hyperlink>
    </w:p>
    <w:p w14:paraId="00000012" w14:textId="77777777" w:rsidR="00896F32"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Levoz, M., Antoine, N., Dubois, A., Piret, J., Grobet, L., &amp; Shikh Alsook, M. K. (2023). Post-mortem tendon-derived mesenchymal stem cells as a treatment for equine tendinopathies: Cases report. Trends in Transplantation, 15(1). https://doi.org/10.15761/tit.1000309</w:t>
      </w:r>
    </w:p>
    <w:p w14:paraId="00000013" w14:textId="77777777" w:rsidR="00896F32"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lastRenderedPageBreak/>
        <w:t>Schneider, C. A., Rasband, W. S., &amp; Eliceiri, K. W. (2012). NIH Image to ImageJ: 25 years of image analysis. Nature Methods, 9(7), 671–675. doi:10.1038/nmeth.2089</w:t>
      </w:r>
    </w:p>
    <w:p w14:paraId="00000014" w14:textId="77777777" w:rsidR="00896F32" w:rsidRDefault="00896F32">
      <w:pPr>
        <w:pBdr>
          <w:top w:val="nil"/>
          <w:left w:val="nil"/>
          <w:bottom w:val="nil"/>
          <w:right w:val="nil"/>
          <w:between w:val="nil"/>
        </w:pBdr>
        <w:spacing w:after="0" w:line="240" w:lineRule="auto"/>
        <w:ind w:left="720"/>
        <w:rPr>
          <w:rFonts w:ascii="Arial" w:eastAsia="Arial" w:hAnsi="Arial" w:cs="Arial"/>
          <w:color w:val="000000"/>
          <w:sz w:val="24"/>
          <w:szCs w:val="24"/>
        </w:rPr>
      </w:pPr>
    </w:p>
    <w:p w14:paraId="00000015" w14:textId="77777777" w:rsidR="00896F32" w:rsidRDefault="00000000">
      <w:pPr>
        <w:spacing w:after="0" w:line="240" w:lineRule="auto"/>
        <w:rPr>
          <w:rFonts w:ascii="Arial" w:eastAsia="Arial" w:hAnsi="Arial" w:cs="Arial"/>
          <w:color w:val="000000"/>
          <w:sz w:val="24"/>
          <w:szCs w:val="24"/>
        </w:rPr>
      </w:pPr>
      <w:r>
        <w:rPr>
          <w:rFonts w:ascii="Arial" w:eastAsia="Arial" w:hAnsi="Arial" w:cs="Arial"/>
          <w:b/>
          <w:color w:val="000000"/>
          <w:sz w:val="24"/>
          <w:szCs w:val="24"/>
        </w:rPr>
        <w:t>Acknowledgements:</w:t>
      </w:r>
      <w:r>
        <w:rPr>
          <w:rFonts w:ascii="Arial" w:eastAsia="Arial" w:hAnsi="Arial" w:cs="Arial"/>
          <w:color w:val="000000"/>
          <w:sz w:val="24"/>
          <w:szCs w:val="24"/>
        </w:rPr>
        <w:t xml:space="preserve"> There was no proprietary interest or funding provided for this project.</w:t>
      </w:r>
    </w:p>
    <w:p w14:paraId="00000016" w14:textId="77777777" w:rsidR="00896F32" w:rsidRDefault="00896F32">
      <w:pPr>
        <w:spacing w:after="0" w:line="240" w:lineRule="auto"/>
        <w:rPr>
          <w:rFonts w:ascii="Arial" w:eastAsia="Arial" w:hAnsi="Arial" w:cs="Arial"/>
          <w:sz w:val="24"/>
          <w:szCs w:val="24"/>
        </w:rPr>
      </w:pPr>
    </w:p>
    <w:sectPr w:rsidR="00896F3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212F01FF-E822-7D4D-A2B2-B30AFC6062FB}"/>
    <w:embedBold r:id="rId2" w:fontKey="{AD55A37B-4A94-6442-8239-97707A4FE3CE}"/>
  </w:font>
  <w:font w:name="Times New Roman">
    <w:panose1 w:val="02020603050405020304"/>
    <w:charset w:val="00"/>
    <w:family w:val="roman"/>
    <w:pitch w:val="variable"/>
    <w:sig w:usb0="E0002EFF" w:usb1="C000785B" w:usb2="00000009" w:usb3="00000000" w:csb0="000001FF" w:csb1="00000000"/>
    <w:embedRegular r:id="rId3" w:fontKey="{43DC42F9-2B80-C548-A456-B7C18E448CF7}"/>
    <w:embedBold r:id="rId4" w:fontKey="{332D4B00-191E-1A43-99B5-5F9FC8EBF8AD}"/>
  </w:font>
  <w:font w:name="Georgia">
    <w:panose1 w:val="02040502050405020303"/>
    <w:charset w:val="00"/>
    <w:family w:val="roman"/>
    <w:pitch w:val="variable"/>
    <w:sig w:usb0="00000287" w:usb1="00000000" w:usb2="00000000" w:usb3="00000000" w:csb0="0000009F" w:csb1="00000000"/>
    <w:embedRegular r:id="rId5" w:fontKey="{1688C268-0095-E44C-8324-CC3C04200DC3}"/>
    <w:embedItalic r:id="rId6" w:fontKey="{DD41251F-3772-F947-B46E-3A406192716D}"/>
  </w:font>
  <w:font w:name="Arial">
    <w:panose1 w:val="020B0604020202020204"/>
    <w:charset w:val="00"/>
    <w:family w:val="swiss"/>
    <w:pitch w:val="variable"/>
    <w:sig w:usb0="E0002AFF" w:usb1="C0007843" w:usb2="00000009" w:usb3="00000000" w:csb0="000001FF" w:csb1="00000000"/>
    <w:embedRegular r:id="rId7" w:fontKey="{D4E2C8EC-BCA1-744C-922F-C1CCA3EF8FDF}"/>
    <w:embedBold r:id="rId8" w:fontKey="{6A5B130F-FBE7-CA4D-B7CA-DAA9D332960B}"/>
  </w:font>
  <w:font w:name="Calibri Light">
    <w:panose1 w:val="020F0302020204030204"/>
    <w:charset w:val="00"/>
    <w:family w:val="swiss"/>
    <w:pitch w:val="variable"/>
    <w:sig w:usb0="E0002AFF" w:usb1="C000247B" w:usb2="00000009" w:usb3="00000000" w:csb0="000001FF" w:csb1="00000000"/>
    <w:embedRegular r:id="rId9" w:fontKey="{F74B45E6-B9B0-E54A-9C02-6AA9B934451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6D6AD5"/>
    <w:multiLevelType w:val="multilevel"/>
    <w:tmpl w:val="07885B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99392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F32"/>
    <w:rsid w:val="00145773"/>
    <w:rsid w:val="00896F32"/>
    <w:rsid w:val="00EC0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FE8FB974-84F1-3449-9337-E24880192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character" w:styleId="PlaceholderText">
    <w:name w:val="Placeholder Text"/>
    <w:basedOn w:val="DefaultParagraphFont"/>
    <w:uiPriority w:val="99"/>
    <w:semiHidden/>
    <w:rsid w:val="00F31763"/>
    <w:rPr>
      <w:color w:val="808080"/>
    </w:rPr>
  </w:style>
  <w:style w:type="paragraph" w:styleId="ListParagraph">
    <w:name w:val="List Paragraph"/>
    <w:basedOn w:val="Normal"/>
    <w:uiPriority w:val="34"/>
    <w:qFormat/>
    <w:rsid w:val="00407A68"/>
    <w:pPr>
      <w:ind w:left="720"/>
      <w:contextualSpacing/>
    </w:pPr>
  </w:style>
  <w:style w:type="character" w:styleId="Hyperlink">
    <w:name w:val="Hyperlink"/>
    <w:basedOn w:val="DefaultParagraphFont"/>
    <w:uiPriority w:val="99"/>
    <w:unhideWhenUsed/>
    <w:rsid w:val="00407A68"/>
    <w:rPr>
      <w:color w:val="0563C1" w:themeColor="hyperlink"/>
      <w:u w:val="single"/>
    </w:rPr>
  </w:style>
  <w:style w:type="character" w:styleId="UnresolvedMention">
    <w:name w:val="Unresolved Mention"/>
    <w:basedOn w:val="DefaultParagraphFont"/>
    <w:uiPriority w:val="99"/>
    <w:semiHidden/>
    <w:unhideWhenUsed/>
    <w:rsid w:val="00407A68"/>
    <w:rPr>
      <w:color w:val="605E5C"/>
      <w:shd w:val="clear" w:color="auto" w:fill="E1DFDD"/>
    </w:rPr>
  </w:style>
  <w:style w:type="character" w:styleId="CommentReference">
    <w:name w:val="annotation reference"/>
    <w:basedOn w:val="DefaultParagraphFont"/>
    <w:uiPriority w:val="99"/>
    <w:semiHidden/>
    <w:unhideWhenUsed/>
    <w:rsid w:val="00982F46"/>
    <w:rPr>
      <w:sz w:val="16"/>
      <w:szCs w:val="16"/>
    </w:rPr>
  </w:style>
  <w:style w:type="paragraph" w:styleId="CommentText">
    <w:name w:val="annotation text"/>
    <w:basedOn w:val="Normal"/>
    <w:link w:val="CommentTextChar"/>
    <w:uiPriority w:val="99"/>
    <w:unhideWhenUsed/>
    <w:rsid w:val="00982F46"/>
    <w:pPr>
      <w:spacing w:line="240" w:lineRule="auto"/>
    </w:pPr>
    <w:rPr>
      <w:sz w:val="20"/>
      <w:szCs w:val="20"/>
    </w:rPr>
  </w:style>
  <w:style w:type="character" w:customStyle="1" w:styleId="CommentTextChar">
    <w:name w:val="Comment Text Char"/>
    <w:basedOn w:val="DefaultParagraphFont"/>
    <w:link w:val="CommentText"/>
    <w:uiPriority w:val="99"/>
    <w:rsid w:val="00982F46"/>
    <w:rPr>
      <w:sz w:val="20"/>
      <w:szCs w:val="20"/>
    </w:rPr>
  </w:style>
  <w:style w:type="paragraph" w:styleId="CommentSubject">
    <w:name w:val="annotation subject"/>
    <w:basedOn w:val="CommentText"/>
    <w:next w:val="CommentText"/>
    <w:link w:val="CommentSubjectChar"/>
    <w:uiPriority w:val="99"/>
    <w:semiHidden/>
    <w:unhideWhenUsed/>
    <w:rsid w:val="00982F46"/>
    <w:rPr>
      <w:b/>
      <w:bCs/>
    </w:rPr>
  </w:style>
  <w:style w:type="character" w:customStyle="1" w:styleId="CommentSubjectChar">
    <w:name w:val="Comment Subject Char"/>
    <w:basedOn w:val="CommentTextChar"/>
    <w:link w:val="CommentSubject"/>
    <w:uiPriority w:val="99"/>
    <w:semiHidden/>
    <w:rsid w:val="00982F46"/>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111/eve.14181" TargetMode="External"/><Relationship Id="rId3" Type="http://schemas.openxmlformats.org/officeDocument/2006/relationships/styles" Target="styles.xml"/><Relationship Id="rId7" Type="http://schemas.openxmlformats.org/officeDocument/2006/relationships/hyperlink" Target="https://bmcvetres.biomedcentral.com/track/pdf/10.1186/s12917-016-0826-1.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oi.org/10.1186/s13287-015-0115-0"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vo1Ro1lluA07VQnxZ7DcSfn2Pw==">CgMxLjAyDmgub3l6cmc4NXo0MzRxOAByITFKbGZsb1VwNHV2OUx2UTVfS3VWTUVPVDQyVUc0Mi1GZg==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1019</Words>
  <Characters>5814</Characters>
  <Application>Microsoft Office Word</Application>
  <DocSecurity>0</DocSecurity>
  <Lines>48</Lines>
  <Paragraphs>13</Paragraphs>
  <ScaleCrop>false</ScaleCrop>
  <Company/>
  <LinksUpToDate>false</LinksUpToDate>
  <CharactersWithSpaces>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Nicole McGee</dc:creator>
  <cp:lastModifiedBy>Sydney E Warcup</cp:lastModifiedBy>
  <cp:revision>2</cp:revision>
  <dcterms:created xsi:type="dcterms:W3CDTF">2025-11-01T16:35:00Z</dcterms:created>
  <dcterms:modified xsi:type="dcterms:W3CDTF">2025-11-01T16:35:00Z</dcterms:modified>
</cp:coreProperties>
</file>