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080F" w14:textId="77777777" w:rsidR="00F95A9B" w:rsidRDefault="00F95A9B" w:rsidP="00F95A9B">
      <w:pPr>
        <w:rPr>
          <w:rFonts w:ascii="Arial" w:eastAsia="Arial" w:hAnsi="Arial" w:cs="Arial"/>
          <w:sz w:val="24"/>
          <w:szCs w:val="24"/>
        </w:rPr>
      </w:pPr>
      <w:r>
        <w:rPr>
          <w:rFonts w:ascii="Arial" w:eastAsia="Arial" w:hAnsi="Arial" w:cs="Arial"/>
          <w:sz w:val="24"/>
          <w:szCs w:val="24"/>
        </w:rPr>
        <w:t>Variability in the Instantaneous Center of Joint Rotation of the Canine Stifle may Prevent the use of Hinged Transarticular Fixators for this Joint</w:t>
      </w:r>
    </w:p>
    <w:p w14:paraId="46FED408" w14:textId="77777777" w:rsidR="00F95A9B" w:rsidRDefault="00F95A9B" w:rsidP="00F95A9B">
      <w:pPr>
        <w:rPr>
          <w:rFonts w:ascii="Arial" w:eastAsia="Arial" w:hAnsi="Arial" w:cs="Arial"/>
          <w:sz w:val="24"/>
          <w:szCs w:val="24"/>
        </w:rPr>
      </w:pPr>
      <w:r>
        <w:rPr>
          <w:rFonts w:ascii="Arial" w:eastAsia="Arial" w:hAnsi="Arial" w:cs="Arial"/>
          <w:sz w:val="24"/>
          <w:szCs w:val="24"/>
        </w:rPr>
        <w:t xml:space="preserve">INTRODUCTION: </w:t>
      </w:r>
    </w:p>
    <w:p w14:paraId="391913AB" w14:textId="77777777" w:rsidR="00F95A9B" w:rsidRDefault="00F95A9B" w:rsidP="00F95A9B">
      <w:pPr>
        <w:spacing w:after="240"/>
        <w:ind w:firstLine="20"/>
        <w:rPr>
          <w:rFonts w:ascii="Arial" w:eastAsia="Arial" w:hAnsi="Arial" w:cs="Arial"/>
          <w:sz w:val="24"/>
          <w:szCs w:val="24"/>
        </w:rPr>
      </w:pPr>
      <w:r>
        <w:rPr>
          <w:rFonts w:ascii="Arial" w:eastAsia="Arial" w:hAnsi="Arial" w:cs="Arial"/>
          <w:sz w:val="24"/>
          <w:szCs w:val="24"/>
        </w:rPr>
        <w:t xml:space="preserve">             Ligamentous injuries of the canine stifle other than cranial cruciate ligament (CCL) are treated with primary repair and joint immobilization, often through placement of a transarticular external skeletal fixator (</w:t>
      </w:r>
      <w:proofErr w:type="spellStart"/>
      <w:r>
        <w:rPr>
          <w:rFonts w:ascii="Arial" w:eastAsia="Arial" w:hAnsi="Arial" w:cs="Arial"/>
          <w:sz w:val="24"/>
          <w:szCs w:val="24"/>
        </w:rPr>
        <w:t>taESF</w:t>
      </w:r>
      <w:proofErr w:type="spellEnd"/>
      <w:r>
        <w:rPr>
          <w:rFonts w:ascii="Arial" w:eastAsia="Arial" w:hAnsi="Arial" w:cs="Arial"/>
          <w:sz w:val="24"/>
          <w:szCs w:val="24"/>
        </w:rPr>
        <w:t xml:space="preserve">). A hinged </w:t>
      </w:r>
      <w:proofErr w:type="spellStart"/>
      <w:r>
        <w:rPr>
          <w:rFonts w:ascii="Arial" w:eastAsia="Arial" w:hAnsi="Arial" w:cs="Arial"/>
          <w:sz w:val="24"/>
          <w:szCs w:val="24"/>
        </w:rPr>
        <w:t>taESF</w:t>
      </w:r>
      <w:proofErr w:type="spellEnd"/>
      <w:r>
        <w:rPr>
          <w:rFonts w:ascii="Arial" w:eastAsia="Arial" w:hAnsi="Arial" w:cs="Arial"/>
          <w:sz w:val="24"/>
          <w:szCs w:val="24"/>
        </w:rPr>
        <w:t xml:space="preserve"> (</w:t>
      </w:r>
      <w:proofErr w:type="spellStart"/>
      <w:r>
        <w:rPr>
          <w:rFonts w:ascii="Arial" w:eastAsia="Arial" w:hAnsi="Arial" w:cs="Arial"/>
          <w:sz w:val="24"/>
          <w:szCs w:val="24"/>
        </w:rPr>
        <w:t>HtaESF</w:t>
      </w:r>
      <w:proofErr w:type="spellEnd"/>
      <w:r>
        <w:rPr>
          <w:rFonts w:ascii="Arial" w:eastAsia="Arial" w:hAnsi="Arial" w:cs="Arial"/>
          <w:sz w:val="24"/>
          <w:szCs w:val="24"/>
        </w:rPr>
        <w:t xml:space="preserve">) allows some joint motion, supporting overall joint health, while providing joint stability. To ensure smooth joint motion, the hinge should be placed at the center of rotation of the joint. However, the stifle exhibits rolling and sliding motions and a dynamic instantaneous center of joint rotation (ICJR) during range of motion (ROM). In this study, the ICJR was determined throughout ROM of the canine stifle from 135° to 35° with a technique simulating a hinged </w:t>
      </w:r>
      <w:proofErr w:type="spellStart"/>
      <w:r>
        <w:rPr>
          <w:rFonts w:ascii="Arial" w:eastAsia="Arial" w:hAnsi="Arial" w:cs="Arial"/>
          <w:sz w:val="24"/>
          <w:szCs w:val="24"/>
        </w:rPr>
        <w:t>taESF</w:t>
      </w:r>
      <w:proofErr w:type="spellEnd"/>
      <w:r>
        <w:rPr>
          <w:rFonts w:ascii="Arial" w:eastAsia="Arial" w:hAnsi="Arial" w:cs="Arial"/>
          <w:sz w:val="24"/>
          <w:szCs w:val="24"/>
        </w:rPr>
        <w:t>. We hypothesized that the ICJR of the stifle would shift in a predictable manner, or close to 0. We proposed that non-linear motions would result in abnormal forces between the femur and tibia, and thus not be beneficial for an injured, unstable stifle.</w:t>
      </w:r>
    </w:p>
    <w:p w14:paraId="12145C05" w14:textId="77777777" w:rsidR="00F95A9B" w:rsidRDefault="00F95A9B" w:rsidP="00F95A9B">
      <w:pPr>
        <w:rPr>
          <w:rFonts w:ascii="Arial" w:eastAsia="Arial" w:hAnsi="Arial" w:cs="Arial"/>
          <w:sz w:val="24"/>
          <w:szCs w:val="24"/>
        </w:rPr>
      </w:pPr>
      <w:r>
        <w:rPr>
          <w:rFonts w:ascii="Arial" w:eastAsia="Arial" w:hAnsi="Arial" w:cs="Arial"/>
          <w:sz w:val="24"/>
          <w:szCs w:val="24"/>
        </w:rPr>
        <w:t xml:space="preserve">MATERIALS &amp; METHODS: </w:t>
      </w:r>
    </w:p>
    <w:p w14:paraId="321AD793" w14:textId="77777777" w:rsidR="00F95A9B" w:rsidRDefault="00F95A9B" w:rsidP="00F95A9B">
      <w:pPr>
        <w:spacing w:after="240"/>
        <w:ind w:firstLine="20"/>
        <w:rPr>
          <w:rFonts w:ascii="Arial" w:eastAsia="Arial" w:hAnsi="Arial" w:cs="Arial"/>
          <w:sz w:val="24"/>
          <w:szCs w:val="24"/>
        </w:rPr>
      </w:pPr>
      <w:r>
        <w:rPr>
          <w:rFonts w:ascii="Arial" w:eastAsia="Arial" w:hAnsi="Arial" w:cs="Arial"/>
          <w:sz w:val="24"/>
          <w:szCs w:val="24"/>
        </w:rPr>
        <w:t xml:space="preserve">           The harvested pelvic limbs (with intact soft tissues) of four canine cadavers were included. Femurs were immobilized. Two perpendicular pins were placed in the tibia for positioning and to assess tibial rotation. Three radio-opaque grids were placed, one on the femur, one underneath the joint, and one on the tibia. The approximate ICJR, defined as the center of fit circle on the femoral condyle (Fig 1) was chosen at the starting angle, 135°. A point was chosen on the proximal femur and the distal tibia to simulate the position of external fixator connecting bars. The grid locations were noted. Lines were drawn from the center point to the femoral and tibial points. A point on the stifle grid was selected as the origin and the intersect location was measured with x-y coordinates. ROM was performed from 135°-35° with radiographs taken at 5° increments. All joint angles were confirmed using a goniometer. The femoral and tibial lines were re-drawn on each radiograph using the grids to ensure consistency. The intersection location was measured from grid 0. The ICJR x-y coordinates were normalized to those at 135°. The distance between each ICJR at each angle of flexion was calculated. The location of the intersect points was plotted to display the ICJR position during movement. The distance from the ICJR at each joint angle was calculated and compared between stifles and within dogs.</w:t>
      </w:r>
    </w:p>
    <w:p w14:paraId="4ACCFF3D" w14:textId="77777777" w:rsidR="00F95A9B" w:rsidRDefault="00F95A9B" w:rsidP="00F95A9B">
      <w:pPr>
        <w:rPr>
          <w:rFonts w:ascii="Arial" w:eastAsia="Arial" w:hAnsi="Arial" w:cs="Arial"/>
          <w:sz w:val="24"/>
          <w:szCs w:val="24"/>
        </w:rPr>
      </w:pPr>
      <w:r>
        <w:rPr>
          <w:rFonts w:ascii="Arial" w:eastAsia="Arial" w:hAnsi="Arial" w:cs="Arial"/>
          <w:sz w:val="24"/>
          <w:szCs w:val="24"/>
        </w:rPr>
        <w:t xml:space="preserve">RESULTS: </w:t>
      </w:r>
    </w:p>
    <w:p w14:paraId="3568A306" w14:textId="77777777" w:rsidR="00F95A9B" w:rsidRDefault="00F95A9B" w:rsidP="00F95A9B">
      <w:pPr>
        <w:spacing w:after="240"/>
        <w:ind w:firstLine="20"/>
        <w:rPr>
          <w:rFonts w:ascii="Arial" w:eastAsia="Arial" w:hAnsi="Arial" w:cs="Arial"/>
          <w:sz w:val="24"/>
          <w:szCs w:val="24"/>
        </w:rPr>
      </w:pPr>
      <w:r>
        <w:rPr>
          <w:rFonts w:ascii="Arial" w:eastAsia="Arial" w:hAnsi="Arial" w:cs="Arial"/>
          <w:sz w:val="24"/>
          <w:szCs w:val="24"/>
        </w:rPr>
        <w:t xml:space="preserve">           On visual assessment the path of the intersect point was inconsistent (Fig </w:t>
      </w:r>
      <w:proofErr w:type="gramStart"/>
      <w:r>
        <w:rPr>
          <w:rFonts w:ascii="Arial" w:eastAsia="Arial" w:hAnsi="Arial" w:cs="Arial"/>
          <w:sz w:val="24"/>
          <w:szCs w:val="24"/>
        </w:rPr>
        <w:t>2)between</w:t>
      </w:r>
      <w:proofErr w:type="gramEnd"/>
      <w:r>
        <w:rPr>
          <w:rFonts w:ascii="Arial" w:eastAsia="Arial" w:hAnsi="Arial" w:cs="Arial"/>
          <w:sz w:val="24"/>
          <w:szCs w:val="24"/>
        </w:rPr>
        <w:t xml:space="preserve"> joints, even between contralateral limbs. Displacements greater than 2 mm were present for all joints.</w:t>
      </w:r>
    </w:p>
    <w:p w14:paraId="0A42EB2F" w14:textId="77777777" w:rsidR="00F95A9B" w:rsidRDefault="00F95A9B" w:rsidP="00F95A9B">
      <w:pPr>
        <w:spacing w:before="240" w:after="240"/>
        <w:ind w:firstLine="20"/>
        <w:rPr>
          <w:rFonts w:ascii="Arial" w:eastAsia="Arial" w:hAnsi="Arial" w:cs="Arial"/>
          <w:sz w:val="24"/>
          <w:szCs w:val="24"/>
        </w:rPr>
      </w:pPr>
      <w:r>
        <w:rPr>
          <w:rFonts w:ascii="Arial" w:eastAsia="Arial" w:hAnsi="Arial" w:cs="Arial"/>
          <w:sz w:val="24"/>
          <w:szCs w:val="24"/>
        </w:rPr>
        <w:lastRenderedPageBreak/>
        <w:t xml:space="preserve">            The average axis </w:t>
      </w:r>
      <w:proofErr w:type="gramStart"/>
      <w:r>
        <w:rPr>
          <w:rFonts w:ascii="Arial" w:eastAsia="Arial" w:hAnsi="Arial" w:cs="Arial"/>
          <w:sz w:val="24"/>
          <w:szCs w:val="24"/>
        </w:rPr>
        <w:t>intersect</w:t>
      </w:r>
      <w:proofErr w:type="gramEnd"/>
      <w:r>
        <w:rPr>
          <w:rFonts w:ascii="Arial" w:eastAsia="Arial" w:hAnsi="Arial" w:cs="Arial"/>
          <w:sz w:val="24"/>
          <w:szCs w:val="24"/>
        </w:rPr>
        <w:t xml:space="preserve"> point distances from the starting ICJR for the right and left stifles are presented in Table 1. Table 2 shows the average distances of the axis intersect point from the starting ICJR to all angles. </w:t>
      </w:r>
    </w:p>
    <w:p w14:paraId="444520EC" w14:textId="77777777" w:rsidR="00F95A9B" w:rsidRDefault="00F95A9B" w:rsidP="00F95A9B">
      <w:pPr>
        <w:spacing w:before="240" w:after="240"/>
        <w:ind w:firstLine="20"/>
        <w:rPr>
          <w:rFonts w:ascii="Arial" w:eastAsia="Arial" w:hAnsi="Arial" w:cs="Arial"/>
          <w:sz w:val="24"/>
          <w:szCs w:val="24"/>
        </w:rPr>
      </w:pPr>
      <w:r>
        <w:rPr>
          <w:rFonts w:ascii="Arial" w:eastAsia="Arial" w:hAnsi="Arial" w:cs="Arial"/>
          <w:sz w:val="24"/>
          <w:szCs w:val="24"/>
        </w:rPr>
        <w:tab/>
        <w:t xml:space="preserve">A linear mixed model was applied. There is a significant inverse relationship between the angle of the joint and the distance between points (P&lt;0.001). When the angle increases, the distance decreases, and vice versa (Fig 3). </w:t>
      </w:r>
    </w:p>
    <w:p w14:paraId="2B0CD614" w14:textId="77777777" w:rsidR="00F95A9B" w:rsidRDefault="00F95A9B" w:rsidP="00F95A9B">
      <w:pPr>
        <w:spacing w:before="240" w:after="240"/>
        <w:ind w:firstLine="20"/>
        <w:rPr>
          <w:rFonts w:ascii="Arial" w:eastAsia="Arial" w:hAnsi="Arial" w:cs="Arial"/>
          <w:sz w:val="24"/>
          <w:szCs w:val="24"/>
        </w:rPr>
      </w:pPr>
      <w:r>
        <w:rPr>
          <w:rFonts w:ascii="Arial" w:eastAsia="Arial" w:hAnsi="Arial" w:cs="Arial"/>
          <w:sz w:val="24"/>
          <w:szCs w:val="24"/>
        </w:rPr>
        <w:t xml:space="preserve">            Coordinate plots of each ICJR revealed non-linear relationships between each ICJR at each angle. The ICJR at sequential angles was so different a line of best fit could not be determined. </w:t>
      </w:r>
    </w:p>
    <w:p w14:paraId="267D76AA" w14:textId="77777777" w:rsidR="00F95A9B" w:rsidRDefault="00F95A9B" w:rsidP="00F95A9B">
      <w:pPr>
        <w:rPr>
          <w:rFonts w:ascii="Arial" w:eastAsia="Arial" w:hAnsi="Arial" w:cs="Arial"/>
          <w:sz w:val="24"/>
          <w:szCs w:val="24"/>
        </w:rPr>
      </w:pPr>
    </w:p>
    <w:p w14:paraId="363E107B" w14:textId="77777777" w:rsidR="00F95A9B" w:rsidRDefault="00F95A9B" w:rsidP="00F95A9B">
      <w:pPr>
        <w:rPr>
          <w:rFonts w:ascii="Arial" w:eastAsia="Arial" w:hAnsi="Arial" w:cs="Arial"/>
          <w:sz w:val="24"/>
          <w:szCs w:val="24"/>
        </w:rPr>
      </w:pPr>
      <w:r>
        <w:rPr>
          <w:rFonts w:ascii="Arial" w:eastAsia="Arial" w:hAnsi="Arial" w:cs="Arial"/>
          <w:sz w:val="24"/>
          <w:szCs w:val="24"/>
        </w:rPr>
        <w:t xml:space="preserve">DISCUSSION/CONCLUSION: </w:t>
      </w:r>
    </w:p>
    <w:p w14:paraId="060B056B" w14:textId="77777777" w:rsidR="00F95A9B" w:rsidRDefault="00F95A9B" w:rsidP="00F95A9B">
      <w:pPr>
        <w:rPr>
          <w:rFonts w:ascii="Arial" w:eastAsia="Arial" w:hAnsi="Arial" w:cs="Arial"/>
          <w:sz w:val="24"/>
          <w:szCs w:val="24"/>
        </w:rPr>
      </w:pPr>
      <w:r>
        <w:rPr>
          <w:rFonts w:ascii="Arial" w:eastAsia="Arial" w:hAnsi="Arial" w:cs="Arial"/>
          <w:sz w:val="24"/>
          <w:szCs w:val="24"/>
        </w:rPr>
        <w:tab/>
        <w:t>These results demonstrate that the ICJR shift of stifles through ROM are not significantly similar between limbs of different dogs, nor between limbs on the same dog. One specimen was barely similar between limbs, which is unlikely to be clinically significant. No consecutive angles during ROM had similar ICJR shifts. While as little as 10° of joint movement promotes cartilaginous health</w:t>
      </w:r>
      <w:r>
        <w:rPr>
          <w:rFonts w:ascii="Arial" w:eastAsia="Arial" w:hAnsi="Arial" w:cs="Arial"/>
          <w:sz w:val="24"/>
          <w:szCs w:val="24"/>
          <w:vertAlign w:val="superscript"/>
        </w:rPr>
        <w:t>1</w:t>
      </w:r>
      <w:r>
        <w:rPr>
          <w:rFonts w:ascii="Arial" w:eastAsia="Arial" w:hAnsi="Arial" w:cs="Arial"/>
          <w:sz w:val="24"/>
          <w:szCs w:val="24"/>
        </w:rPr>
        <w:t xml:space="preserve"> this study demonstrates that 5° of movement significantly changes the ICJR. Thus, ROM in a </w:t>
      </w:r>
      <w:proofErr w:type="spellStart"/>
      <w:r>
        <w:rPr>
          <w:rFonts w:ascii="Arial" w:eastAsia="Arial" w:hAnsi="Arial" w:cs="Arial"/>
          <w:sz w:val="24"/>
          <w:szCs w:val="24"/>
        </w:rPr>
        <w:t>HtaESF</w:t>
      </w:r>
      <w:proofErr w:type="spellEnd"/>
      <w:r>
        <w:rPr>
          <w:rFonts w:ascii="Arial" w:eastAsia="Arial" w:hAnsi="Arial" w:cs="Arial"/>
          <w:sz w:val="24"/>
          <w:szCs w:val="24"/>
        </w:rPr>
        <w:t xml:space="preserve"> likely exerts abnormal </w:t>
      </w:r>
      <w:proofErr w:type="gramStart"/>
      <w:r>
        <w:rPr>
          <w:rFonts w:ascii="Arial" w:eastAsia="Arial" w:hAnsi="Arial" w:cs="Arial"/>
          <w:sz w:val="24"/>
          <w:szCs w:val="24"/>
        </w:rPr>
        <w:t>forces</w:t>
      </w:r>
      <w:proofErr w:type="gramEnd"/>
      <w:r>
        <w:rPr>
          <w:rFonts w:ascii="Arial" w:eastAsia="Arial" w:hAnsi="Arial" w:cs="Arial"/>
          <w:sz w:val="24"/>
          <w:szCs w:val="24"/>
        </w:rPr>
        <w:t xml:space="preserve"> on the joint and/or ligaments. This leads us to accept our hypothesis. A lateral triangulated ESF could be used to stabilize the stifle but would require disassembly to allow passive ROM, where the </w:t>
      </w:r>
      <w:proofErr w:type="spellStart"/>
      <w:r>
        <w:rPr>
          <w:rFonts w:ascii="Arial" w:eastAsia="Arial" w:hAnsi="Arial" w:cs="Arial"/>
          <w:sz w:val="24"/>
          <w:szCs w:val="24"/>
        </w:rPr>
        <w:t>HtaESF</w:t>
      </w:r>
      <w:proofErr w:type="spellEnd"/>
      <w:r>
        <w:rPr>
          <w:rFonts w:ascii="Arial" w:eastAsia="Arial" w:hAnsi="Arial" w:cs="Arial"/>
          <w:sz w:val="24"/>
          <w:szCs w:val="24"/>
        </w:rPr>
        <w:t xml:space="preserve"> would allow active ROM. No studies have evaluated the ROM achievable in this </w:t>
      </w:r>
      <w:proofErr w:type="gramStart"/>
      <w:r>
        <w:rPr>
          <w:rFonts w:ascii="Arial" w:eastAsia="Arial" w:hAnsi="Arial" w:cs="Arial"/>
          <w:sz w:val="24"/>
          <w:szCs w:val="24"/>
        </w:rPr>
        <w:t>construct</w:t>
      </w:r>
      <w:proofErr w:type="gramEnd"/>
      <w:r>
        <w:rPr>
          <w:rFonts w:ascii="Arial" w:eastAsia="Arial" w:hAnsi="Arial" w:cs="Arial"/>
          <w:sz w:val="24"/>
          <w:szCs w:val="24"/>
        </w:rPr>
        <w:t xml:space="preserve">. As such, further investigation is warranted. </w:t>
      </w:r>
    </w:p>
    <w:p w14:paraId="6FDB9F54" w14:textId="77777777" w:rsidR="00F95A9B" w:rsidRDefault="00F95A9B" w:rsidP="00F95A9B">
      <w:pPr>
        <w:spacing w:before="240" w:after="24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There are limitations to this study. The limbs were not placed in load bearing </w:t>
      </w:r>
      <w:proofErr w:type="gramStart"/>
      <w:r>
        <w:rPr>
          <w:rFonts w:ascii="Arial" w:eastAsia="Arial" w:hAnsi="Arial" w:cs="Arial"/>
          <w:sz w:val="24"/>
          <w:szCs w:val="24"/>
        </w:rPr>
        <w:t>positions,</w:t>
      </w:r>
      <w:proofErr w:type="gramEnd"/>
      <w:r>
        <w:rPr>
          <w:rFonts w:ascii="Arial" w:eastAsia="Arial" w:hAnsi="Arial" w:cs="Arial"/>
          <w:sz w:val="24"/>
          <w:szCs w:val="24"/>
        </w:rPr>
        <w:t xml:space="preserve"> however, the soft tissues of the stifle remained to approximate in-situ forces, and in-vivo ROM is not performed while bearing weight. This methodology has not been previously </w:t>
      </w:r>
      <w:proofErr w:type="gramStart"/>
      <w:r>
        <w:rPr>
          <w:rFonts w:ascii="Arial" w:eastAsia="Arial" w:hAnsi="Arial" w:cs="Arial"/>
          <w:sz w:val="24"/>
          <w:szCs w:val="24"/>
        </w:rPr>
        <w:t>reported,</w:t>
      </w:r>
      <w:proofErr w:type="gramEnd"/>
      <w:r>
        <w:rPr>
          <w:rFonts w:ascii="Arial" w:eastAsia="Arial" w:hAnsi="Arial" w:cs="Arial"/>
          <w:sz w:val="24"/>
          <w:szCs w:val="24"/>
        </w:rPr>
        <w:t xml:space="preserve"> however, this method was chosen to emulate an in-vivo </w:t>
      </w:r>
      <w:proofErr w:type="spellStart"/>
      <w:r>
        <w:rPr>
          <w:rFonts w:ascii="Arial" w:eastAsia="Arial" w:hAnsi="Arial" w:cs="Arial"/>
          <w:sz w:val="24"/>
          <w:szCs w:val="24"/>
        </w:rPr>
        <w:t>HtaESF</w:t>
      </w:r>
      <w:proofErr w:type="spellEnd"/>
      <w:r>
        <w:rPr>
          <w:rFonts w:ascii="Arial" w:eastAsia="Arial" w:hAnsi="Arial" w:cs="Arial"/>
          <w:sz w:val="24"/>
          <w:szCs w:val="24"/>
        </w:rPr>
        <w:t xml:space="preserve">. Additionally, tibial torsion was controlled in this study, resulting in uniplanar motion, however, tibial torsion would also be controlled during ROM in a </w:t>
      </w:r>
      <w:proofErr w:type="spellStart"/>
      <w:r>
        <w:rPr>
          <w:rFonts w:ascii="Arial" w:eastAsia="Arial" w:hAnsi="Arial" w:cs="Arial"/>
          <w:sz w:val="24"/>
          <w:szCs w:val="24"/>
        </w:rPr>
        <w:t>HtaESF</w:t>
      </w:r>
      <w:proofErr w:type="spellEnd"/>
      <w:r>
        <w:rPr>
          <w:rFonts w:ascii="Arial" w:eastAsia="Arial" w:hAnsi="Arial" w:cs="Arial"/>
          <w:sz w:val="24"/>
          <w:szCs w:val="24"/>
        </w:rPr>
        <w:t xml:space="preserve">. The limbs were frozen before testing, which may have affected the behavior of the soft tissues. </w:t>
      </w:r>
    </w:p>
    <w:p w14:paraId="577C41F7" w14:textId="77777777" w:rsidR="00F95A9B" w:rsidRDefault="00F95A9B" w:rsidP="00F95A9B">
      <w:pPr>
        <w:spacing w:before="240" w:after="24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In conclusion, applying ROM to a stifle joint immobilized in a </w:t>
      </w:r>
      <w:proofErr w:type="spellStart"/>
      <w:r>
        <w:rPr>
          <w:rFonts w:ascii="Arial" w:eastAsia="Arial" w:hAnsi="Arial" w:cs="Arial"/>
          <w:sz w:val="24"/>
          <w:szCs w:val="24"/>
        </w:rPr>
        <w:t>HtaESF</w:t>
      </w:r>
      <w:proofErr w:type="spellEnd"/>
      <w:r>
        <w:rPr>
          <w:rFonts w:ascii="Arial" w:eastAsia="Arial" w:hAnsi="Arial" w:cs="Arial"/>
          <w:sz w:val="24"/>
          <w:szCs w:val="24"/>
        </w:rPr>
        <w:t xml:space="preserve"> likely results in abnormal forces or displacements within the joint. Further investigation must be </w:t>
      </w:r>
      <w:proofErr w:type="gramStart"/>
      <w:r>
        <w:rPr>
          <w:rFonts w:ascii="Arial" w:eastAsia="Arial" w:hAnsi="Arial" w:cs="Arial"/>
          <w:sz w:val="24"/>
          <w:szCs w:val="24"/>
        </w:rPr>
        <w:t>performed</w:t>
      </w:r>
      <w:proofErr w:type="gramEnd"/>
      <w:r>
        <w:rPr>
          <w:rFonts w:ascii="Arial" w:eastAsia="Arial" w:hAnsi="Arial" w:cs="Arial"/>
          <w:sz w:val="24"/>
          <w:szCs w:val="24"/>
        </w:rPr>
        <w:t xml:space="preserve"> to make recommendations regarding ESF placement that allows for controlled ROM in the canine stifle.</w:t>
      </w:r>
    </w:p>
    <w:p w14:paraId="382E4EE1" w14:textId="77777777" w:rsidR="00015041" w:rsidRDefault="00015041" w:rsidP="00015041">
      <w:pPr>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w:t>
      </w:r>
    </w:p>
    <w:p w14:paraId="6394F058" w14:textId="77777777" w:rsidR="00015041" w:rsidRDefault="00015041" w:rsidP="00015041">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Behrens, F., Kraft, E.L. and </w:t>
      </w:r>
      <w:proofErr w:type="spellStart"/>
      <w:r>
        <w:rPr>
          <w:rFonts w:ascii="Arial" w:eastAsia="Arial" w:hAnsi="Arial" w:cs="Arial"/>
          <w:color w:val="000000"/>
          <w:sz w:val="24"/>
          <w:szCs w:val="24"/>
        </w:rPr>
        <w:t>Oegema</w:t>
      </w:r>
      <w:proofErr w:type="spellEnd"/>
      <w:r>
        <w:rPr>
          <w:rFonts w:ascii="Arial" w:eastAsia="Arial" w:hAnsi="Arial" w:cs="Arial"/>
          <w:color w:val="000000"/>
          <w:sz w:val="24"/>
          <w:szCs w:val="24"/>
        </w:rPr>
        <w:t xml:space="preserve">, T.R., Jr. (1989), Biochemical changes in articular cartilage after joint immobilization by casting or external fixation. J. </w:t>
      </w:r>
      <w:proofErr w:type="spellStart"/>
      <w:r>
        <w:rPr>
          <w:rFonts w:ascii="Arial" w:eastAsia="Arial" w:hAnsi="Arial" w:cs="Arial"/>
          <w:color w:val="000000"/>
          <w:sz w:val="24"/>
          <w:szCs w:val="24"/>
        </w:rPr>
        <w:t>Orthop</w:t>
      </w:r>
      <w:proofErr w:type="spellEnd"/>
      <w:r>
        <w:rPr>
          <w:rFonts w:ascii="Arial" w:eastAsia="Arial" w:hAnsi="Arial" w:cs="Arial"/>
          <w:color w:val="000000"/>
          <w:sz w:val="24"/>
          <w:szCs w:val="24"/>
        </w:rPr>
        <w:t xml:space="preserve">. Res., 7: 335-343. </w:t>
      </w:r>
      <w:hyperlink r:id="rId5">
        <w:r>
          <w:rPr>
            <w:rFonts w:ascii="Arial" w:eastAsia="Arial" w:hAnsi="Arial" w:cs="Arial"/>
            <w:color w:val="0563C1"/>
            <w:sz w:val="24"/>
            <w:szCs w:val="24"/>
            <w:u w:val="single"/>
          </w:rPr>
          <w:t>https://doi.org/10.1002/jor.1100070305</w:t>
        </w:r>
      </w:hyperlink>
    </w:p>
    <w:p w14:paraId="63D53B4E" w14:textId="77777777" w:rsidR="00015041" w:rsidRDefault="00015041" w:rsidP="00015041">
      <w:pPr>
        <w:pBdr>
          <w:top w:val="nil"/>
          <w:left w:val="nil"/>
          <w:bottom w:val="nil"/>
          <w:right w:val="nil"/>
          <w:between w:val="nil"/>
        </w:pBdr>
        <w:ind w:left="720"/>
        <w:rPr>
          <w:rFonts w:ascii="Arial" w:eastAsia="Arial" w:hAnsi="Arial" w:cs="Arial"/>
          <w:color w:val="000000"/>
          <w:sz w:val="24"/>
          <w:szCs w:val="24"/>
        </w:rPr>
      </w:pPr>
    </w:p>
    <w:p w14:paraId="0651094A" w14:textId="7278F59C" w:rsidR="00015041" w:rsidRDefault="00015041" w:rsidP="00015041">
      <w:pPr>
        <w:rPr>
          <w:rFonts w:ascii="Arial" w:eastAsia="Arial" w:hAnsi="Arial" w:cs="Arial"/>
          <w:color w:val="000000"/>
          <w:sz w:val="24"/>
          <w:szCs w:val="24"/>
        </w:rPr>
      </w:pPr>
      <w:r>
        <w:rPr>
          <w:rFonts w:ascii="Arial" w:eastAsia="Arial" w:hAnsi="Arial" w:cs="Arial"/>
          <w:color w:val="000000"/>
          <w:sz w:val="24"/>
          <w:szCs w:val="24"/>
        </w:rPr>
        <w:t>ACKNOWLEDGEMENTS: Intramural start-up funds used for purchase of materials.</w:t>
      </w:r>
    </w:p>
    <w:p w14:paraId="69DF578B" w14:textId="77777777" w:rsidR="00015041" w:rsidRDefault="00015041" w:rsidP="00F95A9B">
      <w:pPr>
        <w:spacing w:before="240" w:after="240"/>
        <w:rPr>
          <w:rFonts w:ascii="Arial" w:eastAsia="Arial" w:hAnsi="Arial" w:cs="Arial"/>
          <w:sz w:val="24"/>
          <w:szCs w:val="24"/>
        </w:rPr>
      </w:pPr>
    </w:p>
    <w:p w14:paraId="5FB54D88" w14:textId="77777777" w:rsidR="0058295B" w:rsidRDefault="0058295B"/>
    <w:sectPr w:rsidR="00582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F0A"/>
    <w:multiLevelType w:val="multilevel"/>
    <w:tmpl w:val="630AD5B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618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9B"/>
    <w:rsid w:val="00015041"/>
    <w:rsid w:val="001765C4"/>
    <w:rsid w:val="0058295B"/>
    <w:rsid w:val="00BB2C60"/>
    <w:rsid w:val="00F9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9884"/>
  <w15:chartTrackingRefBased/>
  <w15:docId w15:val="{A35B0F91-1F6E-4D28-85A7-FBD774E4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9B"/>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F95A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95A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95A9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95A9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95A9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95A9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95A9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95A9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95A9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A9B"/>
    <w:rPr>
      <w:rFonts w:eastAsiaTheme="majorEastAsia" w:cstheme="majorBidi"/>
      <w:color w:val="272727" w:themeColor="text1" w:themeTint="D8"/>
    </w:rPr>
  </w:style>
  <w:style w:type="paragraph" w:styleId="Title">
    <w:name w:val="Title"/>
    <w:basedOn w:val="Normal"/>
    <w:next w:val="Normal"/>
    <w:link w:val="TitleChar"/>
    <w:uiPriority w:val="10"/>
    <w:qFormat/>
    <w:rsid w:val="00F95A9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95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A9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95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A9B"/>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95A9B"/>
    <w:rPr>
      <w:i/>
      <w:iCs/>
      <w:color w:val="404040" w:themeColor="text1" w:themeTint="BF"/>
    </w:rPr>
  </w:style>
  <w:style w:type="paragraph" w:styleId="ListParagraph">
    <w:name w:val="List Paragraph"/>
    <w:basedOn w:val="Normal"/>
    <w:uiPriority w:val="34"/>
    <w:qFormat/>
    <w:rsid w:val="00F95A9B"/>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95A9B"/>
    <w:rPr>
      <w:i/>
      <w:iCs/>
      <w:color w:val="0F4761" w:themeColor="accent1" w:themeShade="BF"/>
    </w:rPr>
  </w:style>
  <w:style w:type="paragraph" w:styleId="IntenseQuote">
    <w:name w:val="Intense Quote"/>
    <w:basedOn w:val="Normal"/>
    <w:next w:val="Normal"/>
    <w:link w:val="IntenseQuoteChar"/>
    <w:uiPriority w:val="30"/>
    <w:qFormat/>
    <w:rsid w:val="00F95A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95A9B"/>
    <w:rPr>
      <w:i/>
      <w:iCs/>
      <w:color w:val="0F4761" w:themeColor="accent1" w:themeShade="BF"/>
    </w:rPr>
  </w:style>
  <w:style w:type="character" w:styleId="IntenseReference">
    <w:name w:val="Intense Reference"/>
    <w:basedOn w:val="DefaultParagraphFont"/>
    <w:uiPriority w:val="32"/>
    <w:qFormat/>
    <w:rsid w:val="00F95A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2/jor.11000703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Baldeon</dc:creator>
  <cp:keywords/>
  <dc:description/>
  <cp:lastModifiedBy>Mary Baldeon</cp:lastModifiedBy>
  <cp:revision>2</cp:revision>
  <dcterms:created xsi:type="dcterms:W3CDTF">2025-10-31T17:23:00Z</dcterms:created>
  <dcterms:modified xsi:type="dcterms:W3CDTF">2025-10-31T17:23:00Z</dcterms:modified>
</cp:coreProperties>
</file>