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23510">
      <w:pPr>
        <w:spacing w:before="0" w:after="0" w:line="240" w:lineRule="auto"/>
      </w:pPr>
      <w:r>
        <w:rPr>
          <w:rFonts w:hint="eastAsia"/>
          <w:b/>
        </w:rPr>
        <w:t>Short-Term Clinical Outcomes Using a Novel Total Hip Replacement System in Dogs</w:t>
      </w:r>
    </w:p>
    <w:p w14:paraId="36CBC819">
      <w:pPr>
        <w:spacing w:before="0" w:after="0" w:line="240" w:lineRule="auto"/>
      </w:pPr>
      <w:r>
        <w:rPr>
          <w:b/>
        </w:rPr>
        <w:t>Objective</w:t>
      </w:r>
      <w:r>
        <w:rPr>
          <w:b/>
        </w:rPr>
        <w:br w:type="textWrapping"/>
      </w:r>
      <w:r>
        <w:t>Postoperative luxation remains one of the most common complications following total hip replacement (THR) in small animals. This study aimed to describe the design concept, surgical technique, and early clinical outcomes of a newly developed THR system. The system was engineered to improve joint stability, increase range of motion (ROM), and reduce postoperative luxation by optimizing prosthetic geometry and material composition.</w:t>
      </w:r>
    </w:p>
    <w:p w14:paraId="5D894AFF">
      <w:pPr>
        <w:spacing w:before="0" w:after="0" w:line="240" w:lineRule="auto"/>
      </w:pPr>
      <w:r>
        <w:rPr>
          <w:b/>
        </w:rPr>
        <w:t>Study Design</w:t>
      </w:r>
      <w:r>
        <w:rPr>
          <w:b/>
        </w:rPr>
        <w:br w:type="textWrapping"/>
      </w:r>
      <w:r>
        <w:t>This prospective case series included 48 canine THR procedures performed by a single experienced surgeon between 2023 and 2025. Surgical indications included hip dysplasia, chronic luxation, and femoral head necrosis. The novel THR system consisted of a metallic acetabular cup and a femoral head made of polyetheretherketone (PEEK), supported by a titanium press-fit femoral stem. The metal acetabular cup featured a double-layer design that facilitated osseointegration while maintaining a low-friction articulating interface. By reducing the thickness of the cup shell, the design allowed for a larger femoral head diameter. The PEEK femoral head provided a smooth, wear-resistant surface for joint articulation. Combined with a modular femoral neck component, the range of motion achieved by this system ranged from 132° to 1</w:t>
      </w:r>
      <w:r>
        <w:rPr>
          <w:rFonts w:hint="default"/>
          <w:lang w:val="en-US"/>
        </w:rPr>
        <w:t>51</w:t>
      </w:r>
      <w:bookmarkStart w:id="0" w:name="_GoBack"/>
      <w:bookmarkEnd w:id="0"/>
      <w:r>
        <w:t>°, compared with 121° to 140° in the previous generation of the same manufacturer’s system. All surgeries were performed via a standard craniolateral hip approach. After femoral head and neck resection, the acetabular bed and femoral canal were sequentially reamed until both components could be impacted and fixed using a press-fit technique. Intraoperative fluoroscopy was used to confirm cup orientation and alignment. The femoral head and neck components were then assembled, and the hip joint reduced. Postoperative management included multimodal analgesia, four weeks of activity restriction, and gradual physiotherapy. Follow-up examinations were conducted at 2 weeks, 1 month, 3 months, and 6 months, assessing gait function, radiographic appearance, and complications.</w:t>
      </w:r>
    </w:p>
    <w:p w14:paraId="31A89667">
      <w:pPr>
        <w:spacing w:before="0" w:after="0" w:line="240" w:lineRule="auto"/>
      </w:pPr>
      <w:r>
        <w:rPr>
          <w:b/>
        </w:rPr>
        <w:t>Results</w:t>
      </w:r>
      <w:r>
        <w:rPr>
          <w:b/>
        </w:rPr>
        <w:br w:type="textWrapping"/>
      </w:r>
      <w:r>
        <w:t>All 48 surgeries were successfully completed without intraoperative complications. Postoperative complications included one case of luxation (1/48, 2.1%) and two cases of femoral neck component dislodgement (2/48, 4.2%), all successfully revised by open reduction without recurrence. In one patient, both hips developed aseptic loosening of the acetabular cup due to excessive activity and poor osseointegration; both were revised using cemented cups. Most patients were able to stand and walk on the day of surgery and achieved full weight-bearing within 2–4 weeks. At 3 months postoperatively, all dogs exhibited symmetric gait and marked muscle recovery compared with preoperative condition. Radiographs confirmed stable prosthesis positioning, visible osseointegration at the bone–implant interface, and no radiolucent lines around the acetabular cup. Owner feedback indicated significantly improved mobility and reduced pain.</w:t>
      </w:r>
    </w:p>
    <w:p w14:paraId="6B47F8A8">
      <w:pPr>
        <w:spacing w:before="0" w:after="0" w:line="240" w:lineRule="auto"/>
      </w:pPr>
      <w:r>
        <w:rPr>
          <w:b/>
        </w:rPr>
        <w:t>Conclusion</w:t>
      </w:r>
      <w:r>
        <w:rPr>
          <w:b/>
        </w:rPr>
        <w:br w:type="textWrapping"/>
      </w:r>
      <w:r>
        <w:t>The newly developed total hip replacement system, combining a metallic acetabular cup with a PEEK femoral head, demonstrated excellent early clinical performance in small animals. Its structural design effectively enhances joint stability, increases range of motion, and reduces luxation rate. The press-fit femoral stem provides secure fixation without bone cement. Preliminary findings suggest that this system is a safe, effective, and feasible reconstructive solution for end-stage canine hip disease. Long-term, multicenter studies are warranted to further evaluate its wear resistance, durability, and biomechanical performance.</w:t>
      </w:r>
    </w:p>
    <w:p w14:paraId="5E05789B">
      <w:pPr>
        <w:spacing w:before="0" w:after="0" w:line="240" w:lineRule="auto"/>
      </w:pPr>
      <w:r>
        <w:rPr>
          <w:b/>
        </w:rPr>
        <w:t>Acknowledgements</w:t>
      </w:r>
      <w:r>
        <w:rPr>
          <w:b/>
        </w:rPr>
        <w:br w:type="textWrapping"/>
      </w:r>
      <w:r>
        <w:rPr>
          <w:rFonts w:hint="eastAsia" w:ascii="Arial" w:hAnsi="Arial" w:eastAsia="Arial"/>
        </w:rPr>
        <w:t>Implants were procured through routine clinical purchasing by participating hospitals; no study-specific funding or donated implants were provided</w:t>
      </w:r>
      <w:r>
        <w:rPr>
          <w:rFonts w:hint="default" w:ascii="Arial" w:hAnsi="Arial" w:eastAsia="Arial"/>
          <w:lang w:val="en-US"/>
        </w:rPr>
        <w:t>.</w:t>
      </w:r>
      <w:r>
        <w:rPr>
          <w:rFonts w:ascii="Arial" w:hAnsi="Arial" w:eastAsia="Arial"/>
        </w:rPr>
        <w:t xml:space="preserve"> </w:t>
      </w:r>
      <w:r>
        <w:rPr>
          <w:rFonts w:hint="default"/>
          <w:lang w:val="en-US"/>
        </w:rPr>
        <w:t>The</w:t>
      </w:r>
      <w:r>
        <w:t xml:space="preserve"> author has received honoraria as a paid lecturer from the implant manufacturer; this relationship had no role in the study design, data collection, analysis, or the decision to submit this abstract.</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80"/>
    <w:family w:val="roman"/>
    <w:pitch w:val="default"/>
    <w:sig w:usb0="00000000" w:usb1="00000000" w:usb2="00000010" w:usb3="00000000" w:csb0="00020000" w:csb1="00000000"/>
  </w:font>
  <w:font w:name="Cambria">
    <w:altName w:val="苹方-简"/>
    <w:panose1 w:val="02040503050406030204"/>
    <w:charset w:val="00"/>
    <w:family w:val="auto"/>
    <w:pitch w:val="default"/>
    <w:sig w:usb0="00000000" w:usb1="00000000" w:usb2="00000000"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ＭＳ ゴシック">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CF7D6C9"/>
    <w:rsid w:val="3FFDBD49"/>
    <w:rsid w:val="73395A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heme="minorBidi"/>
      <w:sz w:val="24"/>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2013-12-23T08:15:00Z</dcterms:created>
  <dc:creator>python-docx</dc:creator>
  <dc:description>generated by python-docx</dc:description>
  <cp:lastModifiedBy>小生生</cp:lastModifiedBy>
  <dcterms:modified xsi:type="dcterms:W3CDTF">2025-10-30T02:15:57Z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C86A44D309B58D4E99FC0269B0EEED1D_42</vt:lpwstr>
  </property>
</Properties>
</file>