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1400" w14:textId="6CB28E52" w:rsidR="008B0B7E" w:rsidRDefault="007B3354" w:rsidP="008B0B7E">
      <w:pPr>
        <w:rPr>
          <w:rFonts w:ascii="Arial" w:hAnsi="Arial" w:cs="Arial"/>
        </w:rPr>
      </w:pPr>
      <w:r w:rsidRPr="007B3354">
        <w:rPr>
          <w:rFonts w:ascii="Arial" w:hAnsi="Arial" w:cs="Arial"/>
          <w:b/>
          <w:bCs/>
        </w:rPr>
        <w:t>Title:</w:t>
      </w:r>
      <w:r>
        <w:rPr>
          <w:rFonts w:ascii="Arial" w:hAnsi="Arial" w:cs="Arial"/>
        </w:rPr>
        <w:t xml:space="preserve"> </w:t>
      </w:r>
      <w:r w:rsidR="008B0B7E" w:rsidRPr="000C5A2E">
        <w:rPr>
          <w:rFonts w:ascii="Arial" w:hAnsi="Arial" w:cs="Arial"/>
        </w:rPr>
        <w:t>Equine amniotic allograft product promotes healing of marked meniscal and articular cartilage injuries in stifle</w:t>
      </w:r>
      <w:r w:rsidR="008B0B7E">
        <w:rPr>
          <w:rFonts w:ascii="Arial" w:hAnsi="Arial" w:cs="Arial"/>
        </w:rPr>
        <w:t xml:space="preserve"> in western</w:t>
      </w:r>
      <w:r w:rsidR="008B0B7E" w:rsidRPr="000C5A2E">
        <w:rPr>
          <w:rFonts w:ascii="Arial" w:hAnsi="Arial" w:cs="Arial"/>
        </w:rPr>
        <w:t xml:space="preserve"> performance horse</w:t>
      </w:r>
    </w:p>
    <w:p w14:paraId="0018575C" w14:textId="77777777" w:rsidR="008B0B7E" w:rsidRDefault="008B0B7E"/>
    <w:p w14:paraId="511D6692" w14:textId="5E814F82" w:rsidR="007B3354" w:rsidRPr="007B3354" w:rsidRDefault="007B3354">
      <w:pPr>
        <w:rPr>
          <w:b/>
          <w:bCs/>
        </w:rPr>
      </w:pPr>
      <w:r w:rsidRPr="007B3354">
        <w:rPr>
          <w:b/>
          <w:bCs/>
        </w:rPr>
        <w:t xml:space="preserve">Long Abstract: </w:t>
      </w:r>
    </w:p>
    <w:p w14:paraId="7433C218" w14:textId="30A3F4ED" w:rsidR="00E066F6" w:rsidRDefault="00CF3CD8" w:rsidP="007B3354">
      <w:pPr>
        <w:ind w:firstLine="720"/>
        <w:rPr>
          <w:rFonts w:ascii="Arial" w:hAnsi="Arial" w:cs="Arial"/>
        </w:rPr>
      </w:pPr>
      <w:r w:rsidRPr="008B0B7E">
        <w:rPr>
          <w:rFonts w:ascii="Arial" w:hAnsi="Arial" w:cs="Arial"/>
        </w:rPr>
        <w:t xml:space="preserve">Equine amnion is </w:t>
      </w:r>
      <w:r w:rsidR="00A10B27" w:rsidRPr="008B0B7E">
        <w:rPr>
          <w:rFonts w:ascii="Arial" w:hAnsi="Arial" w:cs="Arial"/>
        </w:rPr>
        <w:t xml:space="preserve">a </w:t>
      </w:r>
      <w:r w:rsidRPr="008B0B7E">
        <w:rPr>
          <w:rFonts w:ascii="Arial" w:hAnsi="Arial" w:cs="Arial"/>
        </w:rPr>
        <w:t xml:space="preserve">new frontier of the orthobiologic category in veterinary sports medicine that has shown </w:t>
      </w:r>
      <w:r w:rsidR="00BE4F83">
        <w:rPr>
          <w:rFonts w:ascii="Arial" w:hAnsi="Arial" w:cs="Arial"/>
        </w:rPr>
        <w:t>encouraging</w:t>
      </w:r>
      <w:r w:rsidRPr="008B0B7E">
        <w:rPr>
          <w:rFonts w:ascii="Arial" w:hAnsi="Arial" w:cs="Arial"/>
        </w:rPr>
        <w:t xml:space="preserve"> results. </w:t>
      </w:r>
      <w:r w:rsidR="000170DC">
        <w:rPr>
          <w:rFonts w:ascii="Arial" w:hAnsi="Arial" w:cs="Arial"/>
        </w:rPr>
        <w:t>As with most novel products, th</w:t>
      </w:r>
      <w:r w:rsidR="00A10B27" w:rsidRPr="008B0B7E">
        <w:rPr>
          <w:rFonts w:ascii="Arial" w:hAnsi="Arial" w:cs="Arial"/>
        </w:rPr>
        <w:t xml:space="preserve">e industry would benefit from more </w:t>
      </w:r>
      <w:r w:rsidRPr="008B0B7E">
        <w:rPr>
          <w:rFonts w:ascii="Arial" w:hAnsi="Arial" w:cs="Arial"/>
        </w:rPr>
        <w:t>literature</w:t>
      </w:r>
      <w:r w:rsidR="00A10B27" w:rsidRPr="008B0B7E">
        <w:rPr>
          <w:rFonts w:ascii="Arial" w:hAnsi="Arial" w:cs="Arial"/>
        </w:rPr>
        <w:t xml:space="preserve"> </w:t>
      </w:r>
      <w:r w:rsidR="000170DC">
        <w:rPr>
          <w:rFonts w:ascii="Arial" w:hAnsi="Arial" w:cs="Arial"/>
        </w:rPr>
        <w:t xml:space="preserve">that reports </w:t>
      </w:r>
      <w:r w:rsidR="00A10B27" w:rsidRPr="008B0B7E">
        <w:rPr>
          <w:rFonts w:ascii="Arial" w:hAnsi="Arial" w:cs="Arial"/>
        </w:rPr>
        <w:t xml:space="preserve">an equine amnion allograft product and its usage within </w:t>
      </w:r>
      <w:r w:rsidRPr="008B0B7E">
        <w:rPr>
          <w:rFonts w:ascii="Arial" w:hAnsi="Arial" w:cs="Arial"/>
        </w:rPr>
        <w:t>prospective clinical trials</w:t>
      </w:r>
      <w:r w:rsidR="00A10B27" w:rsidRPr="008B0B7E">
        <w:rPr>
          <w:rFonts w:ascii="Arial" w:hAnsi="Arial" w:cs="Arial"/>
        </w:rPr>
        <w:t>.</w:t>
      </w:r>
      <w:r w:rsidRPr="008B0B7E">
        <w:rPr>
          <w:rFonts w:ascii="Arial" w:hAnsi="Arial" w:cs="Arial"/>
        </w:rPr>
        <w:t xml:space="preserve"> </w:t>
      </w:r>
      <w:r w:rsidR="00A10B27" w:rsidRPr="008B0B7E">
        <w:rPr>
          <w:rFonts w:ascii="Arial" w:hAnsi="Arial" w:cs="Arial"/>
        </w:rPr>
        <w:t>However, the retrospective, safety and efficacy clinical studies</w:t>
      </w:r>
      <w:r w:rsidR="00E37B55" w:rsidRPr="008B0B7E">
        <w:rPr>
          <w:rFonts w:ascii="Arial" w:hAnsi="Arial" w:cs="Arial"/>
          <w:vertAlign w:val="superscript"/>
        </w:rPr>
        <w:t>1-3</w:t>
      </w:r>
      <w:r w:rsidR="00A10B27" w:rsidRPr="008B0B7E">
        <w:rPr>
          <w:rFonts w:ascii="Arial" w:hAnsi="Arial" w:cs="Arial"/>
        </w:rPr>
        <w:t xml:space="preserve"> as well as the clinical cases </w:t>
      </w:r>
      <w:r w:rsidRPr="008B0B7E">
        <w:rPr>
          <w:rFonts w:ascii="Arial" w:hAnsi="Arial" w:cs="Arial"/>
        </w:rPr>
        <w:t xml:space="preserve">among practitioners using the product have given </w:t>
      </w:r>
      <w:r w:rsidR="000170DC">
        <w:rPr>
          <w:rFonts w:ascii="Arial" w:hAnsi="Arial" w:cs="Arial"/>
        </w:rPr>
        <w:t>it</w:t>
      </w:r>
      <w:r w:rsidRPr="008B0B7E">
        <w:rPr>
          <w:rFonts w:ascii="Arial" w:hAnsi="Arial" w:cs="Arial"/>
        </w:rPr>
        <w:t xml:space="preserve"> a place in equine practice. </w:t>
      </w:r>
      <w:r w:rsidR="0054670A">
        <w:rPr>
          <w:rFonts w:ascii="Arial" w:hAnsi="Arial" w:cs="Arial"/>
        </w:rPr>
        <w:t>Regenerative medicine therapies are sought after to promote regrowth, repair, replace and restore function of damaged cells and tissue. Amnionic fluid is an excellent source of growth factors and cytokines</w:t>
      </w:r>
      <w:r w:rsidR="007522C6">
        <w:rPr>
          <w:rFonts w:ascii="Arial" w:hAnsi="Arial" w:cs="Arial"/>
        </w:rPr>
        <w:t xml:space="preserve"> and other biologically active factors</w:t>
      </w:r>
      <w:r w:rsidR="0054670A">
        <w:rPr>
          <w:rFonts w:ascii="Arial" w:hAnsi="Arial" w:cs="Arial"/>
        </w:rPr>
        <w:t xml:space="preserve"> that have anti-inflammatory, anti-fibrotic, angiogenic and immunomodulatory properties making </w:t>
      </w:r>
      <w:r w:rsidR="007522C6">
        <w:rPr>
          <w:rFonts w:ascii="Arial" w:hAnsi="Arial" w:cs="Arial"/>
        </w:rPr>
        <w:t>it the ideal base for regenerative therapies. It is also available in off-the-shelf doses</w:t>
      </w:r>
      <w:r w:rsidR="007522C6">
        <w:rPr>
          <w:rFonts w:ascii="Arial" w:hAnsi="Arial" w:cs="Arial"/>
          <w:vertAlign w:val="superscript"/>
        </w:rPr>
        <w:t>1</w:t>
      </w:r>
      <w:r w:rsidR="007522C6">
        <w:rPr>
          <w:rFonts w:ascii="Arial" w:hAnsi="Arial" w:cs="Arial"/>
        </w:rPr>
        <w:t xml:space="preserve">, allowing immediate or timely treatment options. This also takes </w:t>
      </w:r>
      <w:r w:rsidR="00E76A9F">
        <w:rPr>
          <w:rFonts w:ascii="Arial" w:hAnsi="Arial" w:cs="Arial"/>
        </w:rPr>
        <w:t xml:space="preserve">away </w:t>
      </w:r>
      <w:r w:rsidR="007522C6">
        <w:rPr>
          <w:rFonts w:ascii="Arial" w:hAnsi="Arial" w:cs="Arial"/>
        </w:rPr>
        <w:t xml:space="preserve">the numerous variables that come with autologous cell-based therapies such as autologous conditioned serum or protein solution, platelet-rich plasma or adipose or bone marrow derived mesenchymal stem cells including sample collection, overall patient health status/quality of source, time to expand cells or </w:t>
      </w:r>
      <w:r w:rsidR="00E76A9F">
        <w:rPr>
          <w:rFonts w:ascii="Arial" w:hAnsi="Arial" w:cs="Arial"/>
        </w:rPr>
        <w:t>product processing</w:t>
      </w:r>
      <w:r w:rsidR="007522C6">
        <w:rPr>
          <w:rFonts w:ascii="Arial" w:hAnsi="Arial" w:cs="Arial"/>
        </w:rPr>
        <w:t xml:space="preserve">.  </w:t>
      </w:r>
    </w:p>
    <w:p w14:paraId="09DDB9B1" w14:textId="0F11EFC0" w:rsidR="008B0B7E" w:rsidRDefault="00136CA6" w:rsidP="00E066F6">
      <w:pPr>
        <w:ind w:firstLine="720"/>
        <w:contextualSpacing/>
        <w:rPr>
          <w:rFonts w:ascii="Arial" w:hAnsi="Arial" w:cs="Arial"/>
        </w:rPr>
      </w:pPr>
      <w:r>
        <w:rPr>
          <w:rFonts w:ascii="Arial" w:hAnsi="Arial" w:cs="Arial"/>
        </w:rPr>
        <w:t xml:space="preserve">It has been well </w:t>
      </w:r>
      <w:r w:rsidR="00E066F6">
        <w:rPr>
          <w:rFonts w:ascii="Arial" w:hAnsi="Arial" w:cs="Arial"/>
        </w:rPr>
        <w:t>documented</w:t>
      </w:r>
      <w:r>
        <w:rPr>
          <w:rFonts w:ascii="Arial" w:hAnsi="Arial" w:cs="Arial"/>
        </w:rPr>
        <w:t xml:space="preserve"> that a guarded prognosis is often the fate of horses undergoing stifle arthroscopy due to multiple variables including soft tissue and</w:t>
      </w:r>
      <w:r w:rsidR="00176439">
        <w:rPr>
          <w:rFonts w:ascii="Arial" w:hAnsi="Arial" w:cs="Arial"/>
        </w:rPr>
        <w:t>/</w:t>
      </w:r>
      <w:r>
        <w:rPr>
          <w:rFonts w:ascii="Arial" w:hAnsi="Arial" w:cs="Arial"/>
        </w:rPr>
        <w:t>or articular cartilage damage</w:t>
      </w:r>
      <w:r w:rsidR="007B067F">
        <w:rPr>
          <w:rFonts w:ascii="Arial" w:hAnsi="Arial" w:cs="Arial"/>
          <w:vertAlign w:val="superscript"/>
        </w:rPr>
        <w:t>2,5-7</w:t>
      </w:r>
      <w:r>
        <w:rPr>
          <w:rFonts w:ascii="Arial" w:hAnsi="Arial" w:cs="Arial"/>
        </w:rPr>
        <w:t xml:space="preserve">. </w:t>
      </w:r>
      <w:r w:rsidR="00E066F6">
        <w:rPr>
          <w:rFonts w:ascii="Arial" w:hAnsi="Arial" w:cs="Arial"/>
        </w:rPr>
        <w:t xml:space="preserve">A commonly reported soft tissue injury within the equine stifle is </w:t>
      </w:r>
      <w:r w:rsidR="00E76A9F">
        <w:rPr>
          <w:rFonts w:ascii="Arial" w:hAnsi="Arial" w:cs="Arial"/>
        </w:rPr>
        <w:t xml:space="preserve">tearing </w:t>
      </w:r>
      <w:r w:rsidR="00E066F6">
        <w:rPr>
          <w:rFonts w:ascii="Arial" w:hAnsi="Arial" w:cs="Arial"/>
        </w:rPr>
        <w:t xml:space="preserve">of the medial </w:t>
      </w:r>
      <w:r w:rsidR="00E066F6" w:rsidRPr="007B067F">
        <w:rPr>
          <w:rFonts w:ascii="Arial" w:hAnsi="Arial" w:cs="Arial"/>
        </w:rPr>
        <w:t>meniscus</w:t>
      </w:r>
      <w:r w:rsidR="007B067F" w:rsidRPr="007B067F">
        <w:rPr>
          <w:rFonts w:ascii="Arial" w:hAnsi="Arial" w:cs="Arial"/>
          <w:vertAlign w:val="superscript"/>
        </w:rPr>
        <w:t>4-7</w:t>
      </w:r>
      <w:r w:rsidR="00E066F6" w:rsidRPr="007B067F">
        <w:rPr>
          <w:rFonts w:ascii="Arial" w:hAnsi="Arial" w:cs="Arial"/>
        </w:rPr>
        <w:t>.</w:t>
      </w:r>
      <w:r w:rsidR="00E066F6">
        <w:rPr>
          <w:rFonts w:ascii="Arial" w:hAnsi="Arial" w:cs="Arial"/>
        </w:rPr>
        <w:t xml:space="preserve"> Therefore, m</w:t>
      </w:r>
      <w:r w:rsidR="008B0B7E" w:rsidRPr="008B0B7E">
        <w:rPr>
          <w:rFonts w:ascii="Arial" w:hAnsi="Arial" w:cs="Arial"/>
        </w:rPr>
        <w:t xml:space="preserve">edial meniscal tears with concurrent full thickness articular cartilage damage are difficult stifle cases to have return to athletic work. </w:t>
      </w:r>
    </w:p>
    <w:p w14:paraId="44578546" w14:textId="77777777" w:rsidR="008B0B7E" w:rsidRDefault="008B0B7E" w:rsidP="008B0B7E">
      <w:pPr>
        <w:contextualSpacing/>
        <w:rPr>
          <w:rFonts w:ascii="Arial" w:hAnsi="Arial" w:cs="Arial"/>
        </w:rPr>
      </w:pPr>
    </w:p>
    <w:p w14:paraId="74D1C06C" w14:textId="7AECA347" w:rsidR="008B0B7E" w:rsidRDefault="008B0B7E" w:rsidP="008B0B7E">
      <w:pPr>
        <w:ind w:firstLine="720"/>
        <w:contextualSpacing/>
        <w:rPr>
          <w:rFonts w:ascii="Arial" w:hAnsi="Arial" w:cs="Arial"/>
        </w:rPr>
      </w:pPr>
      <w:r w:rsidRPr="008B0B7E">
        <w:rPr>
          <w:rFonts w:ascii="Arial" w:hAnsi="Arial" w:cs="Arial"/>
        </w:rPr>
        <w:t>A 6-year-old cutting horse presented for lameness that was localized to the medial femoral joint with diagnostic analgesia. Radiographs were unremarkable, but ultrasound found medial meniscal injury indicating stifle arthroscopy was warranted. Arthroscopy identified significant medial meniscal tearing and full thickness articular cartilage damage on the medial femoral condyle. Immediately following surgery, the horse was transferred to a veterinary directed rehabilitation facility. Ten days post-op, 1.5mL of an equine amniotic allograft product</w:t>
      </w:r>
      <w:r w:rsidR="00E877C6">
        <w:rPr>
          <w:rStyle w:val="FootnoteReference"/>
          <w:rFonts w:ascii="Arial" w:hAnsi="Arial" w:cs="Arial"/>
        </w:rPr>
        <w:footnoteReference w:id="1"/>
      </w:r>
      <w:r>
        <w:rPr>
          <w:rFonts w:ascii="Arial" w:hAnsi="Arial" w:cs="Arial"/>
        </w:rPr>
        <w:t xml:space="preserve"> </w:t>
      </w:r>
      <w:r w:rsidRPr="008B0B7E">
        <w:rPr>
          <w:rFonts w:ascii="Arial" w:hAnsi="Arial" w:cs="Arial"/>
        </w:rPr>
        <w:t xml:space="preserve">was injected into the medial femoral tibial joint. The horse stayed at the rehabilitation facility and had a customized plan that was adjusted weekly with his post-op progress. </w:t>
      </w:r>
      <w:r w:rsidR="00176439">
        <w:rPr>
          <w:rFonts w:ascii="Arial" w:hAnsi="Arial" w:cs="Arial"/>
        </w:rPr>
        <w:t xml:space="preserve">His </w:t>
      </w:r>
      <w:r w:rsidR="00176439" w:rsidRPr="00176439">
        <w:rPr>
          <w:rFonts w:ascii="Arial" w:hAnsi="Arial" w:cs="Arial"/>
        </w:rPr>
        <w:t xml:space="preserve">rehabilitation consisted of a combination </w:t>
      </w:r>
      <w:r w:rsidR="00176439" w:rsidRPr="00176439">
        <w:rPr>
          <w:rFonts w:ascii="Arial" w:hAnsi="Arial" w:cs="Arial"/>
        </w:rPr>
        <w:lastRenderedPageBreak/>
        <w:t xml:space="preserve">of core and global strengthening movements and controlled exercise. </w:t>
      </w:r>
      <w:r w:rsidR="00176439">
        <w:rPr>
          <w:rFonts w:ascii="Arial" w:hAnsi="Arial" w:cs="Arial"/>
        </w:rPr>
        <w:t>The r</w:t>
      </w:r>
      <w:r w:rsidR="00176439" w:rsidRPr="00176439">
        <w:rPr>
          <w:rFonts w:ascii="Arial" w:hAnsi="Arial" w:cs="Arial"/>
        </w:rPr>
        <w:t xml:space="preserve">ehabilitation protocols were designed to decrease pain and inflammation, promote healing, and improve range of motion, flexibility and strength. </w:t>
      </w:r>
      <w:r w:rsidRPr="008B0B7E">
        <w:rPr>
          <w:rFonts w:ascii="Arial" w:hAnsi="Arial" w:cs="Arial"/>
        </w:rPr>
        <w:t xml:space="preserve">He stayed under this veterinary directed plan for 15 weeks before transitioning to an at home under saddle schedule with rechecks at 30-day intervals. Overall progress of the horse was sound and started trotting work at 3 months, back to flag and light cattle work at 5 months and successfully performing in cutting horse competitions 7 months post-op. No additional intra-articular or systemic treatments were administered through the entire post-op time to competition other than the equine amniotic allograft product 10 days following surgery. </w:t>
      </w:r>
    </w:p>
    <w:p w14:paraId="1E4C5FFD" w14:textId="66ED8B58" w:rsidR="008B0B7E" w:rsidRDefault="002F5CC5" w:rsidP="00880E8C">
      <w:pPr>
        <w:ind w:firstLine="720"/>
        <w:contextualSpacing/>
        <w:rPr>
          <w:rFonts w:ascii="Arial" w:hAnsi="Arial" w:cs="Arial"/>
        </w:rPr>
      </w:pPr>
      <w:r>
        <w:rPr>
          <w:rFonts w:ascii="Arial" w:hAnsi="Arial" w:cs="Arial"/>
        </w:rPr>
        <w:t xml:space="preserve">Soft tissue injury and/or articular cartilage damage in stifles of horses remains a practitioner’s diagnostic and treatment challenge in equine athletes. </w:t>
      </w:r>
      <w:r w:rsidR="002B5D2B">
        <w:rPr>
          <w:rFonts w:ascii="Arial" w:hAnsi="Arial" w:cs="Arial"/>
        </w:rPr>
        <w:t xml:space="preserve">Regenerative therapies have been the focus of veterinary and human medicine because of their ability to promote tissue healing and repair. </w:t>
      </w:r>
      <w:r w:rsidR="00176439">
        <w:rPr>
          <w:rFonts w:ascii="Arial" w:hAnsi="Arial" w:cs="Arial"/>
        </w:rPr>
        <w:t xml:space="preserve">Autologous therapies often come with more cumbersome collection and processing protocols. Patient health and variation may also affect the quality of the end product. An equine amnion allograft product has the ability to take out the collection, processing and patient variables. Thus, it should be an ideal choice for practitioners. </w:t>
      </w:r>
    </w:p>
    <w:p w14:paraId="5E437C29" w14:textId="59F4FD45" w:rsidR="008B0B7E" w:rsidRPr="008B0B7E" w:rsidRDefault="008B0B7E" w:rsidP="008B0B7E">
      <w:pPr>
        <w:ind w:firstLine="720"/>
        <w:contextualSpacing/>
        <w:rPr>
          <w:rFonts w:ascii="Arial" w:hAnsi="Arial" w:cs="Arial"/>
        </w:rPr>
      </w:pPr>
      <w:r w:rsidRPr="008B0B7E">
        <w:rPr>
          <w:rFonts w:ascii="Arial" w:hAnsi="Arial" w:cs="Arial"/>
        </w:rPr>
        <w:t xml:space="preserve">The combination of good lameness localization, optimal arthroscopic debridement, quality orthobiologic product and appropriate rehabilitation protocol leads to a successful case outcome. </w:t>
      </w:r>
      <w:r w:rsidR="002F5CC5">
        <w:rPr>
          <w:rFonts w:ascii="Arial" w:hAnsi="Arial" w:cs="Arial"/>
        </w:rPr>
        <w:t xml:space="preserve">Equine amnion offers a multitude of benefits including anti-inflammatory, anti-fibrotic, immunomodulator and angiogenic properties from the biologically active factors it naturally contains. </w:t>
      </w:r>
      <w:r w:rsidRPr="008B0B7E">
        <w:rPr>
          <w:rFonts w:ascii="Arial" w:hAnsi="Arial" w:cs="Arial"/>
        </w:rPr>
        <w:t>Therefore, an equine amniotic allograft product should be considered in cases diagnosed with soft tissue and articular cartilage damage.</w:t>
      </w:r>
    </w:p>
    <w:p w14:paraId="0CE367C5" w14:textId="77777777" w:rsidR="008B0B7E" w:rsidRDefault="008B0B7E">
      <w:pPr>
        <w:rPr>
          <w:rFonts w:ascii="Arial" w:hAnsi="Arial" w:cs="Arial"/>
        </w:rPr>
      </w:pPr>
    </w:p>
    <w:p w14:paraId="1901C534" w14:textId="77777777" w:rsidR="008B0B7E" w:rsidRDefault="008B0B7E">
      <w:pPr>
        <w:rPr>
          <w:rFonts w:ascii="Arial" w:hAnsi="Arial" w:cs="Arial"/>
        </w:rPr>
      </w:pPr>
    </w:p>
    <w:p w14:paraId="303CCD24" w14:textId="0B10A7CB" w:rsidR="00A10B27" w:rsidRPr="007B3354" w:rsidRDefault="00A10B27">
      <w:pPr>
        <w:rPr>
          <w:rFonts w:ascii="Arial" w:hAnsi="Arial" w:cs="Arial"/>
          <w:b/>
          <w:bCs/>
        </w:rPr>
      </w:pPr>
      <w:r w:rsidRPr="007B3354">
        <w:rPr>
          <w:rFonts w:ascii="Arial" w:hAnsi="Arial" w:cs="Arial"/>
          <w:b/>
          <w:bCs/>
        </w:rPr>
        <w:t xml:space="preserve">References: </w:t>
      </w:r>
    </w:p>
    <w:p w14:paraId="48580458" w14:textId="31A6A40E" w:rsidR="008A74F5" w:rsidRPr="008B0B7E" w:rsidRDefault="008A74F5" w:rsidP="008A74F5">
      <w:pPr>
        <w:pStyle w:val="ListParagraph"/>
        <w:numPr>
          <w:ilvl w:val="0"/>
          <w:numId w:val="1"/>
        </w:numPr>
        <w:rPr>
          <w:rFonts w:ascii="Arial" w:hAnsi="Arial" w:cs="Arial"/>
        </w:rPr>
      </w:pPr>
      <w:r w:rsidRPr="008B0B7E">
        <w:rPr>
          <w:rFonts w:ascii="Arial" w:hAnsi="Arial" w:cs="Arial"/>
        </w:rPr>
        <w:t xml:space="preserve">Duddy HR, Schoonover MJ, Hague BA. Outcome following local injection of a liquid amnion allograft for treatment of equine tendonitis or desmitis – 100 cases. BMC Veterinary Research. </w:t>
      </w:r>
      <w:proofErr w:type="gramStart"/>
      <w:r w:rsidRPr="008B0B7E">
        <w:rPr>
          <w:rFonts w:ascii="Arial" w:hAnsi="Arial" w:cs="Arial"/>
        </w:rPr>
        <w:t>2022;18:391</w:t>
      </w:r>
      <w:proofErr w:type="gramEnd"/>
      <w:r w:rsidRPr="008B0B7E">
        <w:rPr>
          <w:rFonts w:ascii="Arial" w:hAnsi="Arial" w:cs="Arial"/>
        </w:rPr>
        <w:t>.</w:t>
      </w:r>
    </w:p>
    <w:p w14:paraId="3A21161D" w14:textId="33F4907E" w:rsidR="008A74F5" w:rsidRPr="008B0B7E" w:rsidRDefault="008A74F5" w:rsidP="008A74F5">
      <w:pPr>
        <w:pStyle w:val="ListParagraph"/>
        <w:numPr>
          <w:ilvl w:val="0"/>
          <w:numId w:val="1"/>
        </w:numPr>
        <w:rPr>
          <w:rFonts w:ascii="Arial" w:hAnsi="Arial" w:cs="Arial"/>
        </w:rPr>
      </w:pPr>
      <w:r w:rsidRPr="008B0B7E">
        <w:rPr>
          <w:rFonts w:ascii="Arial" w:hAnsi="Arial" w:cs="Arial"/>
        </w:rPr>
        <w:t>Esselman AM, Johnson SA, Hague BA, Frisbie DD. Severity, distribution and postoperative therapy are not predictors of return to work in western performance horses with stifle chondromalacia. Veterinary Surgery. 2025;1</w:t>
      </w:r>
      <w:r w:rsidRPr="008B0B7E">
        <w:rPr>
          <w:rFonts w:ascii="Cambria Math" w:hAnsi="Cambria Math" w:cs="Cambria Math"/>
        </w:rPr>
        <w:t>‐</w:t>
      </w:r>
      <w:r w:rsidRPr="008B0B7E">
        <w:rPr>
          <w:rFonts w:ascii="Arial" w:hAnsi="Arial" w:cs="Arial"/>
        </w:rPr>
        <w:t>9. doi:10.1111/vsu.14196</w:t>
      </w:r>
    </w:p>
    <w:p w14:paraId="55AA51AA" w14:textId="0E9A6ECE" w:rsidR="00A10B27" w:rsidRPr="00A10B27" w:rsidRDefault="00A10B27" w:rsidP="00A10B27">
      <w:pPr>
        <w:pStyle w:val="ListParagraph"/>
        <w:numPr>
          <w:ilvl w:val="0"/>
          <w:numId w:val="1"/>
        </w:numPr>
        <w:rPr>
          <w:rFonts w:ascii="Arial" w:hAnsi="Arial" w:cs="Arial"/>
        </w:rPr>
      </w:pPr>
      <w:r w:rsidRPr="00A10B27">
        <w:rPr>
          <w:rFonts w:ascii="Arial" w:hAnsi="Arial" w:cs="Arial"/>
        </w:rPr>
        <w:t>Wolkowski DD,</w:t>
      </w:r>
      <w:r w:rsidRPr="008B0B7E">
        <w:rPr>
          <w:rFonts w:ascii="Arial" w:hAnsi="Arial" w:cs="Arial"/>
        </w:rPr>
        <w:t xml:space="preserve"> </w:t>
      </w:r>
      <w:r w:rsidRPr="00A10B27">
        <w:rPr>
          <w:rFonts w:ascii="Arial" w:hAnsi="Arial" w:cs="Arial"/>
        </w:rPr>
        <w:t>McCarthy RD, Schoonover MJ, Taylor JD,</w:t>
      </w:r>
      <w:r w:rsidRPr="008B0B7E">
        <w:rPr>
          <w:rFonts w:ascii="Arial" w:hAnsi="Arial" w:cs="Arial"/>
        </w:rPr>
        <w:t xml:space="preserve"> </w:t>
      </w:r>
      <w:r w:rsidRPr="00A10B27">
        <w:rPr>
          <w:rFonts w:ascii="Arial" w:hAnsi="Arial" w:cs="Arial"/>
        </w:rPr>
        <w:t>Eastman TG. Effects of intra-articular injection of</w:t>
      </w:r>
      <w:r w:rsidRPr="008B0B7E">
        <w:rPr>
          <w:rFonts w:ascii="Arial" w:hAnsi="Arial" w:cs="Arial"/>
        </w:rPr>
        <w:t xml:space="preserve"> </w:t>
      </w:r>
      <w:r w:rsidRPr="00A10B27">
        <w:rPr>
          <w:rFonts w:ascii="Arial" w:hAnsi="Arial" w:cs="Arial"/>
        </w:rPr>
        <w:t>an acellular equine liquid amniotic allograft in</w:t>
      </w:r>
      <w:r w:rsidRPr="008B0B7E">
        <w:rPr>
          <w:rFonts w:ascii="Arial" w:hAnsi="Arial" w:cs="Arial"/>
        </w:rPr>
        <w:t xml:space="preserve"> </w:t>
      </w:r>
      <w:r w:rsidRPr="00A10B27">
        <w:rPr>
          <w:rFonts w:ascii="Arial" w:hAnsi="Arial" w:cs="Arial"/>
        </w:rPr>
        <w:t>healthy equine joints. Veterinary Surgery. 2022;1</w:t>
      </w:r>
      <w:r w:rsidRPr="00A10B27">
        <w:rPr>
          <w:rFonts w:ascii="Cambria Math" w:hAnsi="Cambria Math" w:cs="Cambria Math"/>
        </w:rPr>
        <w:t>‐</w:t>
      </w:r>
      <w:r w:rsidRPr="00A10B27">
        <w:rPr>
          <w:rFonts w:ascii="Arial" w:hAnsi="Arial" w:cs="Arial"/>
        </w:rPr>
        <w:t>7.</w:t>
      </w:r>
      <w:r w:rsidRPr="008B0B7E">
        <w:rPr>
          <w:rFonts w:ascii="Arial" w:hAnsi="Arial" w:cs="Arial"/>
        </w:rPr>
        <w:t xml:space="preserve"> </w:t>
      </w:r>
      <w:r w:rsidRPr="00A10B27">
        <w:rPr>
          <w:rFonts w:ascii="Arial" w:hAnsi="Arial" w:cs="Arial"/>
        </w:rPr>
        <w:t>doi:10.1111/vsu.13918</w:t>
      </w:r>
      <w:r w:rsidR="008A74F5" w:rsidRPr="008B0B7E">
        <w:rPr>
          <w:rFonts w:ascii="Arial" w:hAnsi="Arial" w:cs="Arial"/>
        </w:rPr>
        <w:t xml:space="preserve"> </w:t>
      </w:r>
    </w:p>
    <w:p w14:paraId="55F39CC3" w14:textId="3E1EA12C" w:rsidR="00517E51" w:rsidRPr="00517E51" w:rsidRDefault="00517E51" w:rsidP="00517E51">
      <w:pPr>
        <w:pStyle w:val="ListParagraph"/>
        <w:numPr>
          <w:ilvl w:val="0"/>
          <w:numId w:val="1"/>
        </w:numPr>
        <w:rPr>
          <w:rFonts w:ascii="Arial" w:hAnsi="Arial" w:cs="Arial"/>
        </w:rPr>
      </w:pPr>
      <w:r w:rsidRPr="00517E51">
        <w:rPr>
          <w:rFonts w:ascii="Arial" w:hAnsi="Arial" w:cs="Arial"/>
        </w:rPr>
        <w:t xml:space="preserve">McCoy AM, Smith RL, Herrera S, </w:t>
      </w:r>
      <w:proofErr w:type="spellStart"/>
      <w:r w:rsidRPr="00517E51">
        <w:rPr>
          <w:rFonts w:ascii="Arial" w:hAnsi="Arial" w:cs="Arial"/>
        </w:rPr>
        <w:t>Kawcak</w:t>
      </w:r>
      <w:proofErr w:type="spellEnd"/>
      <w:r w:rsidRPr="00517E51">
        <w:rPr>
          <w:rFonts w:ascii="Arial" w:hAnsi="Arial" w:cs="Arial"/>
        </w:rPr>
        <w:t xml:space="preserve"> CE, McIlwraith CW,</w:t>
      </w:r>
      <w:r>
        <w:rPr>
          <w:rFonts w:ascii="Arial" w:hAnsi="Arial" w:cs="Arial"/>
        </w:rPr>
        <w:t xml:space="preserve"> </w:t>
      </w:r>
      <w:r w:rsidRPr="00517E51">
        <w:rPr>
          <w:rFonts w:ascii="Arial" w:hAnsi="Arial" w:cs="Arial"/>
        </w:rPr>
        <w:t>Goodrich LR. Long-term outcome after stifle arthroscopy in 82 western</w:t>
      </w:r>
      <w:r w:rsidRPr="00517E51">
        <w:rPr>
          <w:rFonts w:ascii="Arial" w:hAnsi="Arial" w:cs="Arial"/>
        </w:rPr>
        <w:t xml:space="preserve"> </w:t>
      </w:r>
      <w:r w:rsidRPr="00517E51">
        <w:rPr>
          <w:rFonts w:ascii="Arial" w:hAnsi="Arial" w:cs="Arial"/>
        </w:rPr>
        <w:t>performance horses (2003–2010). Vet Surg. 2019;48(6):956-965.</w:t>
      </w:r>
    </w:p>
    <w:p w14:paraId="68FD00E4" w14:textId="7B2582E2" w:rsidR="00517E51" w:rsidRPr="00517E51" w:rsidRDefault="00517E51" w:rsidP="00517E51">
      <w:pPr>
        <w:pStyle w:val="ListParagraph"/>
        <w:numPr>
          <w:ilvl w:val="0"/>
          <w:numId w:val="1"/>
        </w:numPr>
        <w:rPr>
          <w:rFonts w:ascii="Arial" w:hAnsi="Arial" w:cs="Arial"/>
        </w:rPr>
      </w:pPr>
      <w:r w:rsidRPr="00517E51">
        <w:rPr>
          <w:rFonts w:ascii="Arial" w:hAnsi="Arial" w:cs="Arial"/>
        </w:rPr>
        <w:t xml:space="preserve">Nelson BB, </w:t>
      </w:r>
      <w:proofErr w:type="spellStart"/>
      <w:r w:rsidRPr="00517E51">
        <w:rPr>
          <w:rFonts w:ascii="Arial" w:hAnsi="Arial" w:cs="Arial"/>
        </w:rPr>
        <w:t>Kawcak</w:t>
      </w:r>
      <w:proofErr w:type="spellEnd"/>
      <w:r w:rsidRPr="00517E51">
        <w:rPr>
          <w:rFonts w:ascii="Arial" w:hAnsi="Arial" w:cs="Arial"/>
        </w:rPr>
        <w:t xml:space="preserve"> CE, Goodrich LR, </w:t>
      </w:r>
      <w:proofErr w:type="spellStart"/>
      <w:r w:rsidRPr="00517E51">
        <w:rPr>
          <w:rFonts w:ascii="Arial" w:hAnsi="Arial" w:cs="Arial"/>
        </w:rPr>
        <w:t>Werpy</w:t>
      </w:r>
      <w:proofErr w:type="spellEnd"/>
      <w:r w:rsidRPr="00517E51">
        <w:rPr>
          <w:rFonts w:ascii="Arial" w:hAnsi="Arial" w:cs="Arial"/>
        </w:rPr>
        <w:t xml:space="preserve"> NM, Valdés-Martínez A, McIlwraith CW. Comparison between computed</w:t>
      </w:r>
      <w:r w:rsidRPr="00517E51">
        <w:rPr>
          <w:rFonts w:ascii="Arial" w:hAnsi="Arial" w:cs="Arial"/>
        </w:rPr>
        <w:t xml:space="preserve"> </w:t>
      </w:r>
      <w:r w:rsidRPr="00517E51">
        <w:rPr>
          <w:rFonts w:ascii="Arial" w:hAnsi="Arial" w:cs="Arial"/>
        </w:rPr>
        <w:t>tomographic arthrography, radiography, ultrasonography, and</w:t>
      </w:r>
      <w:r w:rsidRPr="00517E51">
        <w:rPr>
          <w:rFonts w:ascii="Arial" w:hAnsi="Arial" w:cs="Arial"/>
        </w:rPr>
        <w:t xml:space="preserve"> </w:t>
      </w:r>
      <w:r w:rsidRPr="00517E51">
        <w:rPr>
          <w:rFonts w:ascii="Arial" w:hAnsi="Arial" w:cs="Arial"/>
        </w:rPr>
        <w:t>arthroscopy for the diagnosis of femorotibial joint disease in</w:t>
      </w:r>
      <w:r w:rsidRPr="00517E51">
        <w:rPr>
          <w:rFonts w:ascii="Arial" w:hAnsi="Arial" w:cs="Arial"/>
        </w:rPr>
        <w:t xml:space="preserve"> </w:t>
      </w:r>
      <w:r w:rsidRPr="00517E51">
        <w:rPr>
          <w:rFonts w:ascii="Arial" w:hAnsi="Arial" w:cs="Arial"/>
        </w:rPr>
        <w:t xml:space="preserve">western performance horses. Vet </w:t>
      </w:r>
      <w:proofErr w:type="spellStart"/>
      <w:r w:rsidRPr="00517E51">
        <w:rPr>
          <w:rFonts w:ascii="Arial" w:hAnsi="Arial" w:cs="Arial"/>
        </w:rPr>
        <w:t>Radiol</w:t>
      </w:r>
      <w:proofErr w:type="spellEnd"/>
      <w:r w:rsidRPr="00517E51">
        <w:rPr>
          <w:rFonts w:ascii="Arial" w:hAnsi="Arial" w:cs="Arial"/>
        </w:rPr>
        <w:t xml:space="preserve"> Ultrasound. 2016;</w:t>
      </w:r>
      <w:r w:rsidRPr="00517E51">
        <w:rPr>
          <w:rFonts w:ascii="Arial" w:hAnsi="Arial" w:cs="Arial"/>
        </w:rPr>
        <w:t xml:space="preserve"> </w:t>
      </w:r>
      <w:r w:rsidRPr="00517E51">
        <w:rPr>
          <w:rFonts w:ascii="Arial" w:hAnsi="Arial" w:cs="Arial"/>
        </w:rPr>
        <w:t>57(4):387-402.</w:t>
      </w:r>
    </w:p>
    <w:p w14:paraId="3A5F84EC" w14:textId="3B9BC58F" w:rsidR="00517E51" w:rsidRDefault="00517E51" w:rsidP="00517E51">
      <w:pPr>
        <w:pStyle w:val="ListParagraph"/>
        <w:numPr>
          <w:ilvl w:val="0"/>
          <w:numId w:val="1"/>
        </w:numPr>
        <w:rPr>
          <w:rFonts w:ascii="Arial" w:hAnsi="Arial" w:cs="Arial"/>
        </w:rPr>
      </w:pPr>
      <w:r w:rsidRPr="00517E51">
        <w:rPr>
          <w:rFonts w:ascii="Arial" w:hAnsi="Arial" w:cs="Arial"/>
        </w:rPr>
        <w:t xml:space="preserve">Ferris DJ, Frisbie DD, </w:t>
      </w:r>
      <w:proofErr w:type="spellStart"/>
      <w:r w:rsidRPr="00517E51">
        <w:rPr>
          <w:rFonts w:ascii="Arial" w:hAnsi="Arial" w:cs="Arial"/>
        </w:rPr>
        <w:t>Kisiday</w:t>
      </w:r>
      <w:proofErr w:type="spellEnd"/>
      <w:r w:rsidRPr="00517E51">
        <w:rPr>
          <w:rFonts w:ascii="Arial" w:hAnsi="Arial" w:cs="Arial"/>
        </w:rPr>
        <w:t xml:space="preserve"> JD, et al. Clinical outcome after</w:t>
      </w:r>
      <w:r>
        <w:rPr>
          <w:rFonts w:ascii="Arial" w:hAnsi="Arial" w:cs="Arial"/>
        </w:rPr>
        <w:t xml:space="preserve"> </w:t>
      </w:r>
      <w:r w:rsidRPr="00517E51">
        <w:rPr>
          <w:rFonts w:ascii="Arial" w:hAnsi="Arial" w:cs="Arial"/>
        </w:rPr>
        <w:t>intra-articular administration of bone marrow derived</w:t>
      </w:r>
      <w:r>
        <w:rPr>
          <w:rFonts w:ascii="Arial" w:hAnsi="Arial" w:cs="Arial"/>
        </w:rPr>
        <w:t xml:space="preserve"> </w:t>
      </w:r>
      <w:r w:rsidRPr="00517E51">
        <w:rPr>
          <w:rFonts w:ascii="Arial" w:hAnsi="Arial" w:cs="Arial"/>
        </w:rPr>
        <w:t>mesenchymal stem cells in 33 horses with stifle injury. Vet</w:t>
      </w:r>
      <w:r>
        <w:rPr>
          <w:rFonts w:ascii="Arial" w:hAnsi="Arial" w:cs="Arial"/>
        </w:rPr>
        <w:t xml:space="preserve"> </w:t>
      </w:r>
      <w:r w:rsidRPr="00517E51">
        <w:rPr>
          <w:rFonts w:ascii="Arial" w:hAnsi="Arial" w:cs="Arial"/>
        </w:rPr>
        <w:t>Surg</w:t>
      </w:r>
      <w:r>
        <w:rPr>
          <w:rFonts w:ascii="Arial" w:hAnsi="Arial" w:cs="Arial"/>
        </w:rPr>
        <w:t>.</w:t>
      </w:r>
      <w:r w:rsidRPr="00517E51">
        <w:rPr>
          <w:rFonts w:ascii="AdvOT569473da" w:hAnsi="AdvOT569473da" w:cs="AdvOT569473da"/>
          <w:kern w:val="0"/>
          <w:sz w:val="17"/>
          <w:szCs w:val="17"/>
        </w:rPr>
        <w:t xml:space="preserve"> </w:t>
      </w:r>
      <w:r>
        <w:rPr>
          <w:rFonts w:ascii="AdvOT569473da" w:hAnsi="AdvOT569473da" w:cs="AdvOT569473da"/>
          <w:kern w:val="0"/>
          <w:sz w:val="17"/>
          <w:szCs w:val="17"/>
        </w:rPr>
        <w:t xml:space="preserve"> </w:t>
      </w:r>
      <w:r w:rsidRPr="00517E51">
        <w:rPr>
          <w:rFonts w:ascii="Arial" w:hAnsi="Arial" w:cs="Arial"/>
        </w:rPr>
        <w:t>2014;43(3):255-265.</w:t>
      </w:r>
    </w:p>
    <w:p w14:paraId="1B1ED613" w14:textId="4384C435" w:rsidR="00517E51" w:rsidRDefault="00517E51" w:rsidP="00517E51">
      <w:pPr>
        <w:pStyle w:val="ListParagraph"/>
        <w:numPr>
          <w:ilvl w:val="0"/>
          <w:numId w:val="1"/>
        </w:numPr>
        <w:rPr>
          <w:rFonts w:ascii="Arial" w:hAnsi="Arial" w:cs="Arial"/>
        </w:rPr>
      </w:pPr>
      <w:r w:rsidRPr="00517E51">
        <w:rPr>
          <w:rFonts w:ascii="Arial" w:hAnsi="Arial" w:cs="Arial"/>
        </w:rPr>
        <w:t>Cohen JM, Richardson DW, McKnight AL, Ross MW,</w:t>
      </w:r>
      <w:r>
        <w:rPr>
          <w:rFonts w:ascii="Arial" w:hAnsi="Arial" w:cs="Arial"/>
        </w:rPr>
        <w:t xml:space="preserve"> </w:t>
      </w:r>
      <w:r w:rsidRPr="00517E51">
        <w:rPr>
          <w:rFonts w:ascii="Arial" w:hAnsi="Arial" w:cs="Arial"/>
        </w:rPr>
        <w:t>Boston RC. Long-term outcome in 44 horses with stifle lameness</w:t>
      </w:r>
      <w:r>
        <w:rPr>
          <w:rFonts w:ascii="Arial" w:hAnsi="Arial" w:cs="Arial"/>
        </w:rPr>
        <w:t xml:space="preserve"> </w:t>
      </w:r>
      <w:r w:rsidRPr="00517E51">
        <w:rPr>
          <w:rFonts w:ascii="Arial" w:hAnsi="Arial" w:cs="Arial"/>
        </w:rPr>
        <w:t>after arthroscopic exploration and debridement. Vet Surg.</w:t>
      </w:r>
      <w:r>
        <w:rPr>
          <w:rFonts w:ascii="Arial" w:hAnsi="Arial" w:cs="Arial"/>
        </w:rPr>
        <w:t xml:space="preserve"> </w:t>
      </w:r>
      <w:proofErr w:type="gramStart"/>
      <w:r w:rsidRPr="00517E51">
        <w:rPr>
          <w:rFonts w:ascii="Arial" w:hAnsi="Arial" w:cs="Arial"/>
        </w:rPr>
        <w:t>2009;38:543</w:t>
      </w:r>
      <w:proofErr w:type="gramEnd"/>
      <w:r w:rsidRPr="00517E51">
        <w:rPr>
          <w:rFonts w:ascii="Arial" w:hAnsi="Arial" w:cs="Arial"/>
        </w:rPr>
        <w:t>-555.</w:t>
      </w:r>
    </w:p>
    <w:p w14:paraId="37CE7011" w14:textId="77777777" w:rsidR="00B01D81" w:rsidRDefault="00B01D81" w:rsidP="00B01D81">
      <w:pPr>
        <w:rPr>
          <w:rFonts w:ascii="Arial" w:hAnsi="Arial" w:cs="Arial"/>
        </w:rPr>
      </w:pPr>
    </w:p>
    <w:p w14:paraId="76E6D96B" w14:textId="0CE8A7C1" w:rsidR="00B01D81" w:rsidRPr="007B3354" w:rsidRDefault="00B01D81" w:rsidP="00B01D81">
      <w:pPr>
        <w:rPr>
          <w:rFonts w:ascii="Arial" w:hAnsi="Arial" w:cs="Arial"/>
          <w:b/>
          <w:bCs/>
        </w:rPr>
      </w:pPr>
      <w:bookmarkStart w:id="0" w:name="_Hlk212656850"/>
      <w:r w:rsidRPr="007B3354">
        <w:rPr>
          <w:rFonts w:ascii="Arial" w:hAnsi="Arial" w:cs="Arial"/>
          <w:b/>
          <w:bCs/>
        </w:rPr>
        <w:t xml:space="preserve">Acknowledgement: </w:t>
      </w:r>
    </w:p>
    <w:p w14:paraId="4B042E6D" w14:textId="032D2B68" w:rsidR="00B01D81" w:rsidRPr="00B01D81" w:rsidRDefault="00B01D81" w:rsidP="00B01D81">
      <w:pPr>
        <w:rPr>
          <w:rFonts w:ascii="Arial" w:hAnsi="Arial" w:cs="Arial"/>
        </w:rPr>
      </w:pPr>
      <w:r w:rsidRPr="00B01D81">
        <w:rPr>
          <w:rFonts w:ascii="Arial" w:hAnsi="Arial" w:cs="Arial"/>
        </w:rPr>
        <w:t>There was no proprietary interest or funding provided for this project.</w:t>
      </w:r>
      <w:r>
        <w:rPr>
          <w:rFonts w:ascii="Arial" w:hAnsi="Arial" w:cs="Arial"/>
        </w:rPr>
        <w:t xml:space="preserve"> </w:t>
      </w:r>
      <w:r w:rsidRPr="00B01D81">
        <w:rPr>
          <w:rFonts w:ascii="Arial" w:hAnsi="Arial" w:cs="Arial"/>
        </w:rPr>
        <w:t>The authors have adhered to the Principles of Veterinary Medical Ethics of the AVMA and have no conflicts of interest.</w:t>
      </w:r>
      <w:bookmarkEnd w:id="0"/>
    </w:p>
    <w:sectPr w:rsidR="00B01D81" w:rsidRPr="00B01D81">
      <w:footnotePr>
        <w:numFmt w:val="lowerLetter"/>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3C83" w14:textId="77777777" w:rsidR="000021B7" w:rsidRDefault="000021B7" w:rsidP="008B0B7E">
      <w:pPr>
        <w:spacing w:after="0" w:line="240" w:lineRule="auto"/>
      </w:pPr>
      <w:r>
        <w:separator/>
      </w:r>
    </w:p>
  </w:endnote>
  <w:endnote w:type="continuationSeparator" w:id="0">
    <w:p w14:paraId="0103F45F" w14:textId="77777777" w:rsidR="000021B7" w:rsidRDefault="000021B7" w:rsidP="008B0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569473d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BE62" w14:textId="77777777" w:rsidR="000021B7" w:rsidRDefault="000021B7" w:rsidP="008B0B7E">
      <w:pPr>
        <w:spacing w:after="0" w:line="240" w:lineRule="auto"/>
      </w:pPr>
      <w:r>
        <w:separator/>
      </w:r>
    </w:p>
  </w:footnote>
  <w:footnote w:type="continuationSeparator" w:id="0">
    <w:p w14:paraId="4ED82ADF" w14:textId="77777777" w:rsidR="000021B7" w:rsidRDefault="000021B7" w:rsidP="008B0B7E">
      <w:pPr>
        <w:spacing w:after="0" w:line="240" w:lineRule="auto"/>
      </w:pPr>
      <w:r>
        <w:continuationSeparator/>
      </w:r>
    </w:p>
  </w:footnote>
  <w:footnote w:id="1">
    <w:p w14:paraId="6340D5C0" w14:textId="6D1E3646" w:rsidR="00E877C6" w:rsidRDefault="00E877C6">
      <w:pPr>
        <w:pStyle w:val="FootnoteText"/>
      </w:pPr>
      <w:r>
        <w:rPr>
          <w:rStyle w:val="FootnoteReference"/>
        </w:rPr>
        <w:footnoteRef/>
      </w:r>
      <w:r>
        <w:t xml:space="preserve"> </w:t>
      </w:r>
      <w:proofErr w:type="spellStart"/>
      <w:r w:rsidRPr="00A420D7">
        <w:rPr>
          <w:rFonts w:ascii="Arial" w:hAnsi="Arial" w:cs="Arial"/>
        </w:rPr>
        <w:t>RenoVō</w:t>
      </w:r>
      <w:proofErr w:type="spellEnd"/>
      <w:r w:rsidRPr="00A420D7">
        <w:rPr>
          <w:rFonts w:ascii="Arial" w:hAnsi="Arial" w:cs="Arial"/>
          <w:vertAlign w:val="superscript"/>
        </w:rPr>
        <w:t>®</w:t>
      </w:r>
      <w:r w:rsidRPr="00A420D7">
        <w:rPr>
          <w:rFonts w:ascii="Arial" w:hAnsi="Arial" w:cs="Arial"/>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313DB"/>
    <w:multiLevelType w:val="hybridMultilevel"/>
    <w:tmpl w:val="BA2E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12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D8"/>
    <w:rsid w:val="000021B7"/>
    <w:rsid w:val="000170DC"/>
    <w:rsid w:val="00136CA6"/>
    <w:rsid w:val="00176439"/>
    <w:rsid w:val="002B5D2B"/>
    <w:rsid w:val="002F5CC5"/>
    <w:rsid w:val="004421EE"/>
    <w:rsid w:val="00517E51"/>
    <w:rsid w:val="0054670A"/>
    <w:rsid w:val="007522C6"/>
    <w:rsid w:val="007B067F"/>
    <w:rsid w:val="007B3354"/>
    <w:rsid w:val="00823AF5"/>
    <w:rsid w:val="00880E8C"/>
    <w:rsid w:val="008A74F5"/>
    <w:rsid w:val="008B0B7E"/>
    <w:rsid w:val="008E4BDD"/>
    <w:rsid w:val="00A10B27"/>
    <w:rsid w:val="00B01D81"/>
    <w:rsid w:val="00BE4F83"/>
    <w:rsid w:val="00C8615F"/>
    <w:rsid w:val="00CF3CD8"/>
    <w:rsid w:val="00D3162B"/>
    <w:rsid w:val="00D5567F"/>
    <w:rsid w:val="00E066F6"/>
    <w:rsid w:val="00E37B55"/>
    <w:rsid w:val="00E76A9F"/>
    <w:rsid w:val="00E877C6"/>
    <w:rsid w:val="00EB60A4"/>
    <w:rsid w:val="00F40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A515"/>
  <w15:chartTrackingRefBased/>
  <w15:docId w15:val="{EBB37B82-9DD1-441E-9C41-C26F9C2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CD8"/>
    <w:rPr>
      <w:rFonts w:eastAsiaTheme="majorEastAsia" w:cstheme="majorBidi"/>
      <w:color w:val="272727" w:themeColor="text1" w:themeTint="D8"/>
    </w:rPr>
  </w:style>
  <w:style w:type="paragraph" w:styleId="Title">
    <w:name w:val="Title"/>
    <w:basedOn w:val="Normal"/>
    <w:next w:val="Normal"/>
    <w:link w:val="TitleChar"/>
    <w:uiPriority w:val="10"/>
    <w:qFormat/>
    <w:rsid w:val="00CF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CD8"/>
    <w:pPr>
      <w:spacing w:before="160"/>
      <w:jc w:val="center"/>
    </w:pPr>
    <w:rPr>
      <w:i/>
      <w:iCs/>
      <w:color w:val="404040" w:themeColor="text1" w:themeTint="BF"/>
    </w:rPr>
  </w:style>
  <w:style w:type="character" w:customStyle="1" w:styleId="QuoteChar">
    <w:name w:val="Quote Char"/>
    <w:basedOn w:val="DefaultParagraphFont"/>
    <w:link w:val="Quote"/>
    <w:uiPriority w:val="29"/>
    <w:rsid w:val="00CF3CD8"/>
    <w:rPr>
      <w:i/>
      <w:iCs/>
      <w:color w:val="404040" w:themeColor="text1" w:themeTint="BF"/>
    </w:rPr>
  </w:style>
  <w:style w:type="paragraph" w:styleId="ListParagraph">
    <w:name w:val="List Paragraph"/>
    <w:basedOn w:val="Normal"/>
    <w:uiPriority w:val="34"/>
    <w:qFormat/>
    <w:rsid w:val="00CF3CD8"/>
    <w:pPr>
      <w:ind w:left="720"/>
      <w:contextualSpacing/>
    </w:pPr>
  </w:style>
  <w:style w:type="character" w:styleId="IntenseEmphasis">
    <w:name w:val="Intense Emphasis"/>
    <w:basedOn w:val="DefaultParagraphFont"/>
    <w:uiPriority w:val="21"/>
    <w:qFormat/>
    <w:rsid w:val="00CF3CD8"/>
    <w:rPr>
      <w:i/>
      <w:iCs/>
      <w:color w:val="0F4761" w:themeColor="accent1" w:themeShade="BF"/>
    </w:rPr>
  </w:style>
  <w:style w:type="paragraph" w:styleId="IntenseQuote">
    <w:name w:val="Intense Quote"/>
    <w:basedOn w:val="Normal"/>
    <w:next w:val="Normal"/>
    <w:link w:val="IntenseQuoteChar"/>
    <w:uiPriority w:val="30"/>
    <w:qFormat/>
    <w:rsid w:val="00CF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CD8"/>
    <w:rPr>
      <w:i/>
      <w:iCs/>
      <w:color w:val="0F4761" w:themeColor="accent1" w:themeShade="BF"/>
    </w:rPr>
  </w:style>
  <w:style w:type="character" w:styleId="IntenseReference">
    <w:name w:val="Intense Reference"/>
    <w:basedOn w:val="DefaultParagraphFont"/>
    <w:uiPriority w:val="32"/>
    <w:qFormat/>
    <w:rsid w:val="00CF3CD8"/>
    <w:rPr>
      <w:b/>
      <w:bCs/>
      <w:smallCaps/>
      <w:color w:val="0F4761" w:themeColor="accent1" w:themeShade="BF"/>
      <w:spacing w:val="5"/>
    </w:rPr>
  </w:style>
  <w:style w:type="paragraph" w:styleId="FootnoteText">
    <w:name w:val="footnote text"/>
    <w:basedOn w:val="Normal"/>
    <w:link w:val="FootnoteTextChar"/>
    <w:uiPriority w:val="99"/>
    <w:semiHidden/>
    <w:unhideWhenUsed/>
    <w:rsid w:val="008B0B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B7E"/>
    <w:rPr>
      <w:sz w:val="20"/>
      <w:szCs w:val="20"/>
    </w:rPr>
  </w:style>
  <w:style w:type="character" w:styleId="FootnoteReference">
    <w:name w:val="footnote reference"/>
    <w:basedOn w:val="DefaultParagraphFont"/>
    <w:uiPriority w:val="99"/>
    <w:semiHidden/>
    <w:unhideWhenUsed/>
    <w:rsid w:val="008B0B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2121</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Esselman</dc:creator>
  <cp:keywords/>
  <dc:description/>
  <cp:lastModifiedBy>Angie Esselman</cp:lastModifiedBy>
  <cp:revision>17</cp:revision>
  <dcterms:created xsi:type="dcterms:W3CDTF">2025-10-27T13:57:00Z</dcterms:created>
  <dcterms:modified xsi:type="dcterms:W3CDTF">2025-10-31T15:33:00Z</dcterms:modified>
</cp:coreProperties>
</file>