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A9C29" w14:textId="32341532" w:rsidR="00AF5D00" w:rsidRPr="00AF5D00" w:rsidRDefault="007317D9" w:rsidP="00AF5D00">
      <w:pPr>
        <w:spacing w:after="240"/>
        <w:jc w:val="center"/>
        <w:rPr>
          <w:rFonts w:ascii="Times New Roman" w:hAnsi="Times New Roman"/>
          <w:b/>
          <w:sz w:val="28"/>
          <w:szCs w:val="28"/>
        </w:rPr>
      </w:pPr>
      <w:r>
        <w:rPr>
          <w:rFonts w:ascii="Times New Roman" w:hAnsi="Times New Roman"/>
          <w:b/>
          <w:sz w:val="28"/>
          <w:szCs w:val="28"/>
        </w:rPr>
        <w:t xml:space="preserve">Robust </w:t>
      </w:r>
      <w:r w:rsidR="006C2225">
        <w:rPr>
          <w:rFonts w:ascii="Times New Roman" w:hAnsi="Times New Roman"/>
          <w:b/>
          <w:sz w:val="28"/>
          <w:szCs w:val="28"/>
        </w:rPr>
        <w:t xml:space="preserve">Panel Set </w:t>
      </w:r>
      <w:r w:rsidR="00D23AA8">
        <w:rPr>
          <w:rFonts w:ascii="Times New Roman" w:hAnsi="Times New Roman"/>
          <w:b/>
          <w:sz w:val="28"/>
          <w:szCs w:val="28"/>
        </w:rPr>
        <w:t>Definition</w:t>
      </w:r>
      <w:r w:rsidR="00243D71">
        <w:rPr>
          <w:rFonts w:ascii="Times New Roman" w:hAnsi="Times New Roman"/>
          <w:b/>
          <w:sz w:val="28"/>
          <w:szCs w:val="28"/>
        </w:rPr>
        <w:t xml:space="preserve"> for RS-25 FPI POD </w:t>
      </w:r>
      <w:r w:rsidR="0060483B">
        <w:rPr>
          <w:rFonts w:ascii="Times New Roman" w:hAnsi="Times New Roman"/>
          <w:b/>
          <w:sz w:val="28"/>
          <w:szCs w:val="28"/>
        </w:rPr>
        <w:t xml:space="preserve">Demonstration </w:t>
      </w:r>
      <w:r w:rsidR="00243D71">
        <w:rPr>
          <w:rFonts w:ascii="Times New Roman" w:hAnsi="Times New Roman"/>
          <w:b/>
          <w:sz w:val="28"/>
          <w:szCs w:val="28"/>
        </w:rPr>
        <w:t>Testing</w:t>
      </w:r>
    </w:p>
    <w:p w14:paraId="1745B7A0" w14:textId="567C22B9" w:rsidR="00AF5D00" w:rsidRDefault="006C2225" w:rsidP="00AF5D00">
      <w:pPr>
        <w:spacing w:line="240" w:lineRule="exact"/>
        <w:jc w:val="center"/>
        <w:rPr>
          <w:rFonts w:ascii="Times New Roman" w:hAnsi="Times New Roman"/>
          <w:b/>
          <w:sz w:val="20"/>
          <w:szCs w:val="20"/>
        </w:rPr>
      </w:pPr>
      <w:r>
        <w:rPr>
          <w:rFonts w:ascii="Times New Roman" w:hAnsi="Times New Roman"/>
          <w:b/>
          <w:sz w:val="20"/>
          <w:szCs w:val="20"/>
        </w:rPr>
        <w:t>Mindy Hotchkiss</w:t>
      </w:r>
      <w:r w:rsidR="009C165E" w:rsidRPr="009C165E">
        <w:rPr>
          <w:rFonts w:ascii="Times New Roman" w:hAnsi="Times New Roman"/>
          <w:b/>
          <w:sz w:val="20"/>
          <w:szCs w:val="20"/>
          <w:vertAlign w:val="superscript"/>
        </w:rPr>
        <w:t>1</w:t>
      </w:r>
    </w:p>
    <w:p w14:paraId="68A229B9" w14:textId="77777777" w:rsidR="00AF5D00" w:rsidRDefault="00AF5D00" w:rsidP="00AF5D00">
      <w:pPr>
        <w:spacing w:line="240" w:lineRule="exact"/>
        <w:jc w:val="center"/>
        <w:rPr>
          <w:rFonts w:ascii="Times New Roman" w:hAnsi="Times New Roman"/>
          <w:b/>
          <w:sz w:val="20"/>
          <w:szCs w:val="20"/>
        </w:rPr>
      </w:pPr>
    </w:p>
    <w:p w14:paraId="649D3D88" w14:textId="1C349EE2" w:rsidR="00CC435E"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1</w:t>
      </w:r>
      <w:r w:rsidR="006C2225">
        <w:rPr>
          <w:rFonts w:ascii="Times New Roman" w:hAnsi="Times New Roman"/>
          <w:sz w:val="20"/>
          <w:szCs w:val="20"/>
        </w:rPr>
        <w:t>Aerojet Rocketdyne</w:t>
      </w:r>
      <w:r w:rsidR="00CC435E">
        <w:rPr>
          <w:rFonts w:ascii="Times New Roman" w:hAnsi="Times New Roman"/>
          <w:sz w:val="20"/>
          <w:szCs w:val="20"/>
        </w:rPr>
        <w:t>, an L3Harris Technologies Company</w:t>
      </w:r>
    </w:p>
    <w:p w14:paraId="78265425" w14:textId="4BD7B1AB" w:rsidR="00AF5D00" w:rsidRPr="009C165E" w:rsidRDefault="00243D71" w:rsidP="00AF5D00">
      <w:pPr>
        <w:spacing w:line="240" w:lineRule="exact"/>
        <w:jc w:val="center"/>
        <w:rPr>
          <w:rFonts w:ascii="Times New Roman" w:hAnsi="Times New Roman"/>
          <w:sz w:val="20"/>
          <w:szCs w:val="20"/>
        </w:rPr>
      </w:pPr>
      <w:r>
        <w:rPr>
          <w:rFonts w:ascii="Times New Roman" w:hAnsi="Times New Roman"/>
          <w:sz w:val="20"/>
          <w:szCs w:val="20"/>
        </w:rPr>
        <w:t>17900 Beeline Highway</w:t>
      </w:r>
    </w:p>
    <w:p w14:paraId="717709A6" w14:textId="6F0C3375" w:rsidR="001F4D73" w:rsidRPr="009C165E" w:rsidRDefault="00243D71" w:rsidP="00AF5D00">
      <w:pPr>
        <w:spacing w:line="240" w:lineRule="exact"/>
        <w:jc w:val="center"/>
        <w:rPr>
          <w:rFonts w:ascii="Times New Roman" w:hAnsi="Times New Roman"/>
          <w:sz w:val="20"/>
          <w:szCs w:val="20"/>
        </w:rPr>
      </w:pPr>
      <w:r>
        <w:rPr>
          <w:rFonts w:ascii="Times New Roman" w:hAnsi="Times New Roman"/>
          <w:sz w:val="20"/>
          <w:szCs w:val="20"/>
        </w:rPr>
        <w:t>Jupiter, FL 33458 USA</w:t>
      </w:r>
    </w:p>
    <w:p w14:paraId="7EBA0908" w14:textId="689C1DA0" w:rsidR="001F4D73" w:rsidRPr="00154179" w:rsidRDefault="006C2225" w:rsidP="00AF5D00">
      <w:pPr>
        <w:spacing w:line="240" w:lineRule="exact"/>
        <w:jc w:val="center"/>
        <w:rPr>
          <w:rFonts w:ascii="Times New Roman" w:hAnsi="Times New Roman"/>
          <w:sz w:val="20"/>
          <w:szCs w:val="20"/>
          <w:lang w:val="fr-FR"/>
        </w:rPr>
      </w:pPr>
      <w:r w:rsidRPr="00154179">
        <w:rPr>
          <w:rFonts w:ascii="Times New Roman" w:hAnsi="Times New Roman"/>
          <w:sz w:val="20"/>
          <w:szCs w:val="20"/>
          <w:lang w:val="fr-FR"/>
        </w:rPr>
        <w:t>(561) 882-5331</w:t>
      </w:r>
      <w:r w:rsidR="001F4D73" w:rsidRPr="00154179">
        <w:rPr>
          <w:rFonts w:ascii="Times New Roman" w:hAnsi="Times New Roman"/>
          <w:sz w:val="20"/>
          <w:szCs w:val="20"/>
          <w:lang w:val="fr-FR"/>
        </w:rPr>
        <w:t xml:space="preserve">; </w:t>
      </w:r>
      <w:r w:rsidRPr="00154179">
        <w:rPr>
          <w:rFonts w:ascii="Times New Roman" w:hAnsi="Times New Roman"/>
          <w:sz w:val="20"/>
          <w:szCs w:val="20"/>
          <w:lang w:val="fr-FR"/>
        </w:rPr>
        <w:t>mindy.hotchkiss@l3harris</w:t>
      </w:r>
      <w:r w:rsidR="001F4D73" w:rsidRPr="00154179">
        <w:rPr>
          <w:rFonts w:ascii="Times New Roman" w:hAnsi="Times New Roman"/>
          <w:sz w:val="20"/>
          <w:szCs w:val="20"/>
          <w:lang w:val="fr-FR"/>
        </w:rPr>
        <w:t>.com</w:t>
      </w:r>
    </w:p>
    <w:p w14:paraId="41F96F1E" w14:textId="77777777" w:rsidR="001F4D73" w:rsidRPr="00154179" w:rsidRDefault="001F4D73" w:rsidP="00AF5D00">
      <w:pPr>
        <w:spacing w:line="240" w:lineRule="exact"/>
        <w:jc w:val="center"/>
        <w:rPr>
          <w:rFonts w:ascii="Times New Roman" w:hAnsi="Times New Roman"/>
          <w:sz w:val="20"/>
          <w:szCs w:val="20"/>
          <w:lang w:val="fr-FR"/>
        </w:rPr>
      </w:pPr>
    </w:p>
    <w:p w14:paraId="7B3E3185" w14:textId="77777777" w:rsidR="00AF5D00" w:rsidRPr="00154179" w:rsidRDefault="00AF5D00" w:rsidP="00AF5D00">
      <w:pPr>
        <w:spacing w:line="240" w:lineRule="exact"/>
        <w:jc w:val="center"/>
        <w:rPr>
          <w:rFonts w:ascii="Times New Roman" w:hAnsi="Times New Roman"/>
          <w:b/>
          <w:sz w:val="20"/>
          <w:szCs w:val="20"/>
          <w:lang w:val="fr-FR"/>
        </w:rPr>
      </w:pPr>
    </w:p>
    <w:p w14:paraId="1BFEB36E" w14:textId="77777777" w:rsidR="001F4D73" w:rsidRPr="00154179" w:rsidRDefault="001F4D73" w:rsidP="005B0798">
      <w:pPr>
        <w:pStyle w:val="SUBHEAD1PAPERSUMMARY"/>
        <w:rPr>
          <w:lang w:val="fr-FR"/>
        </w:rPr>
      </w:pPr>
      <w:r w:rsidRPr="00154179">
        <w:rPr>
          <w:lang w:val="fr-FR"/>
        </w:rPr>
        <w:t>ABSTRACT</w:t>
      </w:r>
    </w:p>
    <w:p w14:paraId="6CF5D109" w14:textId="1A66FB4C" w:rsidR="00A513B0" w:rsidRDefault="00615939" w:rsidP="00AF43F7">
      <w:pPr>
        <w:pStyle w:val="BODYTEXTPAPERSUMMARY"/>
      </w:pPr>
      <w:r>
        <w:t>T</w:t>
      </w:r>
      <w:r w:rsidR="008E318B">
        <w:t xml:space="preserve">he </w:t>
      </w:r>
      <w:r w:rsidR="00E979F4">
        <w:t xml:space="preserve">Aerojet Rocketdyne </w:t>
      </w:r>
      <w:r w:rsidR="008E318B">
        <w:t>RS-25</w:t>
      </w:r>
      <w:r>
        <w:t xml:space="preserve"> </w:t>
      </w:r>
      <w:r w:rsidR="008E318B">
        <w:t xml:space="preserve">program </w:t>
      </w:r>
      <w:r>
        <w:t xml:space="preserve">went through a recent effort (2019-2021) </w:t>
      </w:r>
      <w:r w:rsidR="00E979F4">
        <w:t>to replace the panel set used for Probability of Detection (POD) demonstration testing for Fluorescent Penetrant Inspection (FPI)</w:t>
      </w:r>
      <w:r w:rsidR="004D545E">
        <w:t>, due to the deteriorating condition of the existing NASA</w:t>
      </w:r>
      <w:r w:rsidR="00FE0C5A">
        <w:t>-owned</w:t>
      </w:r>
      <w:r w:rsidR="004D545E">
        <w:t xml:space="preserve"> specimen standard, </w:t>
      </w:r>
      <w:r w:rsidR="00FE0C5A">
        <w:t xml:space="preserve">at that time already </w:t>
      </w:r>
      <w:r w:rsidR="004D545E">
        <w:t>in use for over 40 years</w:t>
      </w:r>
      <w:r w:rsidR="00FE0C5A">
        <w:t xml:space="preserve"> and which had gone through multiple refurbishments.</w:t>
      </w:r>
      <w:r w:rsidR="003F68EF">
        <w:t xml:space="preserve"> </w:t>
      </w:r>
      <w:r w:rsidR="00867612">
        <w:t>This legacy set</w:t>
      </w:r>
      <w:r w:rsidR="004D545E">
        <w:t xml:space="preserve"> </w:t>
      </w:r>
      <w:r w:rsidR="00867612">
        <w:t>was being further reduced in size in terms of the number of flaws available to inspection due to flaw growt</w:t>
      </w:r>
      <w:r w:rsidR="00787036">
        <w:t xml:space="preserve">h </w:t>
      </w:r>
      <w:r w:rsidR="00F84B43">
        <w:t>(porosity).</w:t>
      </w:r>
      <w:r w:rsidR="00A513B0">
        <w:t xml:space="preserve"> Additional investment into activities needed for further life-extension was therefore deemed inadvisable, so a new panel set had to be acquired. </w:t>
      </w:r>
    </w:p>
    <w:p w14:paraId="07C0C4D7" w14:textId="77777777" w:rsidR="00A513B0" w:rsidRDefault="00A513B0" w:rsidP="00AF43F7">
      <w:pPr>
        <w:pStyle w:val="BODYTEXTPAPERSUMMARY"/>
      </w:pPr>
    </w:p>
    <w:p w14:paraId="0D477701" w14:textId="721653C7" w:rsidR="000A56E2" w:rsidRDefault="00A513B0">
      <w:pPr>
        <w:pStyle w:val="BODYTEXTPAPERSUMMARY"/>
      </w:pPr>
      <w:r>
        <w:t>The panel set acquisition process involved a numb</w:t>
      </w:r>
      <w:r w:rsidR="00946E59">
        <w:t xml:space="preserve">er of practical decisions about </w:t>
      </w:r>
      <w:r w:rsidR="00EB2E1B">
        <w:t xml:space="preserve">panel and flaw characteristics, with </w:t>
      </w:r>
      <w:r w:rsidR="00215094">
        <w:t>many</w:t>
      </w:r>
      <w:r w:rsidR="00EB2E1B">
        <w:t xml:space="preserve"> different considerations taken into account</w:t>
      </w:r>
      <w:r w:rsidR="00BF1ADE">
        <w:t xml:space="preserve">, e.g., </w:t>
      </w:r>
      <w:r w:rsidR="00615939">
        <w:t xml:space="preserve">what kind of flaws, </w:t>
      </w:r>
      <w:r w:rsidR="00BF1ADE">
        <w:t>how many flaws were needed</w:t>
      </w:r>
      <w:r w:rsidR="00615939">
        <w:t>,</w:t>
      </w:r>
      <w:r w:rsidR="00BF1ADE">
        <w:t xml:space="preserve"> and what sizes</w:t>
      </w:r>
      <w:r w:rsidR="00EB2E1B">
        <w:t xml:space="preserve">. The focus of this discussion is flaw sizing and allocation, specifically how the target flaw distribution provided to the vendor was obtained. </w:t>
      </w:r>
      <w:r w:rsidR="00875897">
        <w:t xml:space="preserve">One </w:t>
      </w:r>
      <w:r w:rsidR="000A56E2">
        <w:t>key constraint</w:t>
      </w:r>
      <w:r w:rsidR="00875897">
        <w:t xml:space="preserve"> was that</w:t>
      </w:r>
      <w:r w:rsidR="000A56E2">
        <w:t>, due to production uncertainty,</w:t>
      </w:r>
      <w:r w:rsidR="00875897">
        <w:t xml:space="preserve"> the vendor would not </w:t>
      </w:r>
      <w:r w:rsidR="000A56E2">
        <w:t>necessarily be able to produce an exact flaw size match for all flaws requested, but would need to target intervals. As a result, panel set design planning needed to account for and accommodate this limitation</w:t>
      </w:r>
      <w:bookmarkStart w:id="0" w:name="_GoBack"/>
      <w:bookmarkEnd w:id="0"/>
      <w:r w:rsidR="000A56E2">
        <w:t xml:space="preserve">, not in terms of the </w:t>
      </w:r>
      <w:r w:rsidR="005036CB">
        <w:t>actual resolution desired.</w:t>
      </w:r>
    </w:p>
    <w:p w14:paraId="4F199862" w14:textId="77777777" w:rsidR="000A56E2" w:rsidRDefault="000A56E2">
      <w:pPr>
        <w:pStyle w:val="BODYTEXTPAPERSUMMARY"/>
      </w:pPr>
    </w:p>
    <w:p w14:paraId="4BAAB9DE" w14:textId="4705C35D" w:rsidR="00D23AA8" w:rsidRDefault="00EB2E1B">
      <w:pPr>
        <w:pStyle w:val="BODYTEXTPAPERSUMMARY"/>
      </w:pPr>
      <w:r>
        <w:t xml:space="preserve">A number of </w:t>
      </w:r>
      <w:r w:rsidR="00875897">
        <w:t xml:space="preserve">distributional </w:t>
      </w:r>
      <w:r>
        <w:t xml:space="preserve">options were </w:t>
      </w:r>
      <w:r w:rsidR="005036CB">
        <w:t xml:space="preserve">then </w:t>
      </w:r>
      <w:r>
        <w:t xml:space="preserve">compared </w:t>
      </w:r>
      <w:r w:rsidR="005036CB">
        <w:t xml:space="preserve">using this </w:t>
      </w:r>
      <w:r w:rsidR="000A56E2">
        <w:t>interval basis</w:t>
      </w:r>
      <w:r w:rsidR="005036CB">
        <w:t>, on logarithmic scale,</w:t>
      </w:r>
      <w:r w:rsidR="000A56E2">
        <w:t xml:space="preserve"> </w:t>
      </w:r>
      <w:r>
        <w:t xml:space="preserve">for overall utility and robustness to meet potential future needs, given the long-lived nature of the set. </w:t>
      </w:r>
      <w:r w:rsidR="00215094">
        <w:t>Existing guidance recommended that flaws be distributed uniformly on log scale for Level 3 and 4 sensitivity penetrants; however, once modeled this was found to have undesirable qualities that were suboptimal and potentially</w:t>
      </w:r>
      <w:r w:rsidR="00875897">
        <w:t xml:space="preserve"> inefficient. A statistical B</w:t>
      </w:r>
      <w:r w:rsidR="00215094">
        <w:t xml:space="preserve">eta distribution was used to compare different distributions relative to the </w:t>
      </w:r>
      <w:r w:rsidR="00875897">
        <w:t xml:space="preserve">Uniform baseline, </w:t>
      </w:r>
      <w:r w:rsidR="00787036">
        <w:t xml:space="preserve">a subcase of the Beta, </w:t>
      </w:r>
      <w:r w:rsidR="00875897">
        <w:t>and which vary in both skew and kurtosis</w:t>
      </w:r>
      <w:r w:rsidR="00535D99">
        <w:t xml:space="preserve">. </w:t>
      </w:r>
      <w:r w:rsidR="00D23AA8">
        <w:t>A calculator tool provided quick visualizations and facilitated the decision-making process</w:t>
      </w:r>
      <w:r w:rsidR="002D25AC">
        <w:t xml:space="preserve"> </w:t>
      </w:r>
      <w:r w:rsidR="002D25AC" w:rsidRPr="002D25AC">
        <w:t>by enabling optimization of the target allocation to meet desired objectives</w:t>
      </w:r>
      <w:r w:rsidR="00D23AA8">
        <w:t>.</w:t>
      </w:r>
      <w:r w:rsidR="000C3861">
        <w:t xml:space="preserve"> </w:t>
      </w:r>
      <w:r w:rsidR="00FB6C7E">
        <w:t xml:space="preserve"> </w:t>
      </w:r>
    </w:p>
    <w:p w14:paraId="4F986133" w14:textId="77777777" w:rsidR="00D23AA8" w:rsidRDefault="00D23AA8">
      <w:pPr>
        <w:pStyle w:val="BODYTEXTPAPERSUMMARY"/>
      </w:pPr>
    </w:p>
    <w:p w14:paraId="1E9BED10" w14:textId="20017381" w:rsidR="005036CB" w:rsidRDefault="00BF1ADE">
      <w:pPr>
        <w:pStyle w:val="BODYTEXTPAPERSUMMARY"/>
      </w:pPr>
      <w:r>
        <w:t>Once the panel set had been manufactured and was available on-site</w:t>
      </w:r>
      <w:r w:rsidR="00615939">
        <w:t xml:space="preserve"> in late 2020</w:t>
      </w:r>
      <w:r>
        <w:t xml:space="preserve">, the Materials and Process Engineering group conducted </w:t>
      </w:r>
      <w:r w:rsidR="00876303">
        <w:t>a</w:t>
      </w:r>
      <w:r>
        <w:t xml:space="preserve"> detailed review on all panels to verify the dimensions of the identified flaws. The panels were processed multiple times to validate inspection capability. A surplus of flaws was obtained to provide margin against future deterioration and natural wear and tear on the panel set. Panels were also divided into overlapped sets to diminish overuse concerns, but with common panels to provide </w:t>
      </w:r>
      <w:r w:rsidR="00615939">
        <w:t>a mechanism</w:t>
      </w:r>
      <w:r>
        <w:t xml:space="preserve"> for future panel and flaw health monitoring.</w:t>
      </w:r>
      <w:r w:rsidR="00615939">
        <w:t xml:space="preserve"> A database was</w:t>
      </w:r>
      <w:r>
        <w:t xml:space="preserve"> </w:t>
      </w:r>
      <w:r w:rsidR="00615939">
        <w:t xml:space="preserve">also </w:t>
      </w:r>
      <w:r>
        <w:t xml:space="preserve">designed to </w:t>
      </w:r>
      <w:r w:rsidR="00615939">
        <w:t xml:space="preserve">serve as a repository for the data, </w:t>
      </w:r>
      <w:r>
        <w:t>facilitate</w:t>
      </w:r>
      <w:r w:rsidR="00615939">
        <w:t xml:space="preserve"> decision-making, and be a resource for the future. </w:t>
      </w:r>
      <w:r>
        <w:t xml:space="preserve">  </w:t>
      </w:r>
    </w:p>
    <w:p w14:paraId="5CD02CFA" w14:textId="713312F2" w:rsidR="009C165E" w:rsidRPr="005B0798" w:rsidRDefault="009C165E" w:rsidP="005B0798">
      <w:pPr>
        <w:pStyle w:val="BODYTEXTPAPERSUMMARY"/>
      </w:pPr>
    </w:p>
    <w:p w14:paraId="395A6131" w14:textId="7D34EBA7" w:rsidR="009C165E" w:rsidRDefault="009C165E" w:rsidP="005B0798">
      <w:pPr>
        <w:pStyle w:val="BODYTEXTPAPERSUMMARY"/>
      </w:pPr>
      <w:r w:rsidRPr="005B0798">
        <w:rPr>
          <w:b/>
        </w:rPr>
        <w:t>Keywords:</w:t>
      </w:r>
      <w:r w:rsidRPr="005B0798">
        <w:t xml:space="preserve"> </w:t>
      </w:r>
      <w:r w:rsidR="00243D71">
        <w:t>RS-25, Probability of Detection, POD, Fluorescent Penetrant Inspection, FPI</w:t>
      </w:r>
      <w:r w:rsidR="00867612">
        <w:t>, panel set design, flaw distribution, flaw allocation</w:t>
      </w:r>
      <w:r w:rsidR="005036CB">
        <w:t>, uniform</w:t>
      </w:r>
      <w:r w:rsidR="000C3861">
        <w:t xml:space="preserve"> distribution</w:t>
      </w:r>
      <w:r w:rsidR="005036CB">
        <w:t>, beta</w:t>
      </w:r>
      <w:r w:rsidR="000C3861">
        <w:t xml:space="preserve"> distribution</w:t>
      </w:r>
    </w:p>
    <w:p w14:paraId="2572F948" w14:textId="3231DC87" w:rsidR="00F84B43" w:rsidRPr="005B0798" w:rsidRDefault="00AF43F7" w:rsidP="00F84B43">
      <w:pPr>
        <w:pStyle w:val="SUBHEAD1PAPERSUMMARY"/>
      </w:pPr>
      <w:r>
        <w:br w:type="page"/>
      </w:r>
      <w:r w:rsidR="0040356B">
        <w:lastRenderedPageBreak/>
        <w:t xml:space="preserve">INTRODUCTION AND </w:t>
      </w:r>
      <w:r w:rsidR="00F84B43">
        <w:t>BACKGROUND</w:t>
      </w:r>
    </w:p>
    <w:p w14:paraId="2595D2AE" w14:textId="3EFE17DE" w:rsidR="008D5861" w:rsidRPr="00516EF2" w:rsidRDefault="00390D4A" w:rsidP="008D5861">
      <w:pPr>
        <w:pStyle w:val="BODYTEXTPAPERSUMMARY"/>
      </w:pPr>
      <w:r>
        <w:t>The National Aeronautics and Space Administrat</w:t>
      </w:r>
      <w:r w:rsidR="00EB7FE7">
        <w:t xml:space="preserve">ion (NASA) has been </w:t>
      </w:r>
      <w:r>
        <w:t xml:space="preserve">developing </w:t>
      </w:r>
      <w:r w:rsidR="00D3492D">
        <w:t>the Space Launch System (SLS)</w:t>
      </w:r>
      <w:r w:rsidR="00EB7FE7">
        <w:t xml:space="preserve"> </w:t>
      </w:r>
      <w:r w:rsidR="00154179">
        <w:t>heavy-lift</w:t>
      </w:r>
      <w:r w:rsidR="00EB7FE7">
        <w:t xml:space="preserve"> launch vehicle</w:t>
      </w:r>
      <w:r w:rsidR="00D3492D">
        <w:t xml:space="preserve"> in support of the Artemis</w:t>
      </w:r>
      <w:r w:rsidR="00EB7FE7">
        <w:t xml:space="preserve"> lunar landing and exploration program, intended to establish a sustainable human presence on the </w:t>
      </w:r>
      <w:r w:rsidR="00EB7FE7" w:rsidRPr="001E7A2C">
        <w:t>moon.</w:t>
      </w:r>
      <w:r w:rsidR="00D3492D" w:rsidRPr="001E7A2C">
        <w:t xml:space="preserve"> </w:t>
      </w:r>
      <w:r w:rsidR="007779E7" w:rsidRPr="001E7A2C">
        <w:t xml:space="preserve">Fifteen </w:t>
      </w:r>
      <w:r w:rsidR="00EB7FE7" w:rsidRPr="001E7A2C">
        <w:t>retired</w:t>
      </w:r>
      <w:r w:rsidRPr="001E7A2C">
        <w:t xml:space="preserve"> Space Shuttle Main Engines (SSMEs)</w:t>
      </w:r>
      <w:r w:rsidR="00026ADD" w:rsidRPr="001E7A2C">
        <w:t xml:space="preserve">, </w:t>
      </w:r>
      <w:r w:rsidR="00EB7FE7" w:rsidRPr="001E7A2C">
        <w:t xml:space="preserve">known as RS-25s, </w:t>
      </w:r>
      <w:r w:rsidR="00026ADD" w:rsidRPr="001E7A2C">
        <w:t>were</w:t>
      </w:r>
      <w:r w:rsidRPr="001E7A2C">
        <w:t xml:space="preserve"> </w:t>
      </w:r>
      <w:r w:rsidR="00EB7FE7" w:rsidRPr="001E7A2C">
        <w:t xml:space="preserve">repurposed </w:t>
      </w:r>
      <w:r w:rsidR="007779E7" w:rsidRPr="001E7A2C">
        <w:t>with new design modernized engine controllers and a 16</w:t>
      </w:r>
      <w:r w:rsidR="007779E7" w:rsidRPr="001E7A2C">
        <w:rPr>
          <w:vertAlign w:val="superscript"/>
        </w:rPr>
        <w:t>th</w:t>
      </w:r>
      <w:r w:rsidR="007779E7" w:rsidRPr="001E7A2C">
        <w:t xml:space="preserve"> engine was assembled from heritage Space Shuttle assets </w:t>
      </w:r>
      <w:r w:rsidR="00026ADD" w:rsidRPr="001E7A2C">
        <w:t>by Aerojet Rocketdyne (AR) in support of this effort [</w:t>
      </w:r>
      <w:r w:rsidR="0040356B" w:rsidRPr="001E7A2C">
        <w:t>1,</w:t>
      </w:r>
      <w:r w:rsidR="005B0F66" w:rsidRPr="001E7A2C">
        <w:t xml:space="preserve"> </w:t>
      </w:r>
      <w:r w:rsidR="0040356B" w:rsidRPr="001E7A2C">
        <w:t>2</w:t>
      </w:r>
      <w:r w:rsidR="00026ADD" w:rsidRPr="001E7A2C">
        <w:t>].</w:t>
      </w:r>
      <w:r w:rsidRPr="001E7A2C">
        <w:t xml:space="preserve"> </w:t>
      </w:r>
      <w:r w:rsidR="00026ADD" w:rsidRPr="001E7A2C">
        <w:t xml:space="preserve">NASA Technical Standards </w:t>
      </w:r>
      <w:r w:rsidR="00CC7936" w:rsidRPr="001E7A2C">
        <w:t>establish requirements for fracture control</w:t>
      </w:r>
      <w:r w:rsidR="0029662D" w:rsidRPr="001E7A2C">
        <w:t xml:space="preserve"> </w:t>
      </w:r>
      <w:r w:rsidR="00D17E9F" w:rsidRPr="001E7A2C">
        <w:t xml:space="preserve">of </w:t>
      </w:r>
      <w:r w:rsidR="0029662D" w:rsidRPr="001E7A2C">
        <w:t xml:space="preserve">hardware associated with manned spaceflight, in order to </w:t>
      </w:r>
      <w:r w:rsidR="000875F0" w:rsidRPr="001E7A2C">
        <w:t>mitigate</w:t>
      </w:r>
      <w:r w:rsidR="00392749" w:rsidRPr="001E7A2C">
        <w:t xml:space="preserve"> the risk of catastrophic failure due to material</w:t>
      </w:r>
      <w:r w:rsidR="00392749" w:rsidRPr="00516EF2">
        <w:t xml:space="preserve"> flaws</w:t>
      </w:r>
      <w:r w:rsidR="000875F0" w:rsidRPr="00516EF2">
        <w:t xml:space="preserve"> [</w:t>
      </w:r>
      <w:r w:rsidR="0040356B" w:rsidRPr="00516EF2">
        <w:t>3</w:t>
      </w:r>
      <w:r w:rsidR="000875F0" w:rsidRPr="00516EF2">
        <w:t>]. Thes</w:t>
      </w:r>
      <w:r w:rsidR="00D017D5" w:rsidRPr="00516EF2">
        <w:t xml:space="preserve">e standards </w:t>
      </w:r>
      <w:r w:rsidR="00F92842" w:rsidRPr="00516EF2">
        <w:t>outline</w:t>
      </w:r>
      <w:r w:rsidR="0097229F" w:rsidRPr="00516EF2">
        <w:t xml:space="preserve"> specific processes and requirements for the implementation of various Nondestructive Evaluation (NDE) assessments, including Fluorescent Penetrant Inspection (FPI), the focus of this work</w:t>
      </w:r>
      <w:r w:rsidR="000875F0" w:rsidRPr="00516EF2">
        <w:t xml:space="preserve"> [</w:t>
      </w:r>
      <w:r w:rsidR="0040356B" w:rsidRPr="00516EF2">
        <w:t>4</w:t>
      </w:r>
      <w:r w:rsidR="000875F0" w:rsidRPr="00516EF2">
        <w:t>].</w:t>
      </w:r>
      <w:r w:rsidR="00067F26" w:rsidRPr="00516EF2">
        <w:t xml:space="preserve"> </w:t>
      </w:r>
    </w:p>
    <w:p w14:paraId="0804CDD4" w14:textId="77777777" w:rsidR="008D5861" w:rsidRPr="00516EF2" w:rsidRDefault="008D5861" w:rsidP="008D5861">
      <w:pPr>
        <w:pStyle w:val="BODYTEXTPAPERSUMMARY"/>
      </w:pPr>
    </w:p>
    <w:p w14:paraId="4C0ADC65" w14:textId="287288F6" w:rsidR="00F92842" w:rsidRPr="00516EF2" w:rsidRDefault="00067F26" w:rsidP="008D5861">
      <w:pPr>
        <w:pStyle w:val="BODYTEXTPAPERSUMMARY"/>
      </w:pPr>
      <w:r w:rsidRPr="00516EF2">
        <w:t xml:space="preserve">For FPI, inspector capability is established </w:t>
      </w:r>
      <w:r w:rsidR="004E4168" w:rsidRPr="00516EF2">
        <w:t xml:space="preserve">quantitatively </w:t>
      </w:r>
      <w:r w:rsidRPr="00516EF2">
        <w:t xml:space="preserve">through administration of a Probability of Detection (POD) demonstration test, in which a set of panels with known flaws </w:t>
      </w:r>
      <w:r w:rsidR="004E4168" w:rsidRPr="00516EF2">
        <w:t xml:space="preserve">of different sizes </w:t>
      </w:r>
      <w:r w:rsidR="00677919" w:rsidRPr="00516EF2">
        <w:t>is</w:t>
      </w:r>
      <w:r w:rsidRPr="00516EF2">
        <w:t xml:space="preserve"> inspected</w:t>
      </w:r>
      <w:r w:rsidR="00725800" w:rsidRPr="00516EF2">
        <w:t>. T</w:t>
      </w:r>
      <w:r w:rsidRPr="00516EF2">
        <w:t>he resulting</w:t>
      </w:r>
      <w:r w:rsidR="004E4168" w:rsidRPr="00516EF2">
        <w:t xml:space="preserve"> </w:t>
      </w:r>
      <w:r w:rsidR="00D017D5" w:rsidRPr="00516EF2">
        <w:t>data</w:t>
      </w:r>
      <w:r w:rsidR="004E4168" w:rsidRPr="00516EF2">
        <w:t>set of</w:t>
      </w:r>
      <w:r w:rsidRPr="00516EF2">
        <w:t xml:space="preserve"> hit/miss outcomes </w:t>
      </w:r>
      <w:r w:rsidR="00725800" w:rsidRPr="00516EF2">
        <w:t>is analyzed</w:t>
      </w:r>
      <w:r w:rsidRPr="00516EF2">
        <w:t xml:space="preserve"> </w:t>
      </w:r>
      <w:r w:rsidR="004E4168" w:rsidRPr="00516EF2">
        <w:t xml:space="preserve">to estimate a POD </w:t>
      </w:r>
      <w:r w:rsidR="001943A8" w:rsidRPr="00516EF2">
        <w:t xml:space="preserve">score for that inspector </w:t>
      </w:r>
      <w:r w:rsidR="00944127" w:rsidRPr="00516EF2">
        <w:t xml:space="preserve">using binary logistic regression, a </w:t>
      </w:r>
      <w:r w:rsidR="001943A8" w:rsidRPr="00516EF2">
        <w:t xml:space="preserve">standard </w:t>
      </w:r>
      <w:r w:rsidR="00944127" w:rsidRPr="00516EF2">
        <w:t xml:space="preserve">statistical method </w:t>
      </w:r>
      <w:r w:rsidRPr="00516EF2">
        <w:t>[</w:t>
      </w:r>
      <w:r w:rsidR="0040356B" w:rsidRPr="00516EF2">
        <w:t>5</w:t>
      </w:r>
      <w:r w:rsidRPr="00516EF2">
        <w:t xml:space="preserve">]. </w:t>
      </w:r>
      <w:r w:rsidR="008D5861" w:rsidRPr="00516EF2">
        <w:t xml:space="preserve">Binary logistic regression uses a link function, such as logit or </w:t>
      </w:r>
      <w:proofErr w:type="spellStart"/>
      <w:r w:rsidR="008D5861" w:rsidRPr="00516EF2">
        <w:t>probit</w:t>
      </w:r>
      <w:proofErr w:type="spellEnd"/>
      <w:r w:rsidR="008D5861" w:rsidRPr="00516EF2">
        <w:t>, to transform the binary outcomes to a probability scale, then obtains best-fit estimates of model paramet</w:t>
      </w:r>
      <w:r w:rsidR="001D1F6F" w:rsidRPr="00516EF2">
        <w:t>ers from the transformed data relative to</w:t>
      </w:r>
      <w:r w:rsidR="008D5861" w:rsidRPr="00516EF2">
        <w:t xml:space="preserve"> the independent variable [</w:t>
      </w:r>
      <w:r w:rsidR="0040356B" w:rsidRPr="00516EF2">
        <w:t>6</w:t>
      </w:r>
      <w:r w:rsidR="008D5861" w:rsidRPr="00516EF2">
        <w:t xml:space="preserve">], which for hit/miss analysis is crack length. </w:t>
      </w:r>
      <w:r w:rsidR="00D017D5" w:rsidRPr="00516EF2">
        <w:t>An inspector’s POD score</w:t>
      </w:r>
      <w:r w:rsidR="001E7A2C">
        <w:t xml:space="preserve">, </w:t>
      </w:r>
      <w:proofErr w:type="gramStart"/>
      <w:r w:rsidR="001E7A2C">
        <w:t xml:space="preserve">or </w:t>
      </w:r>
      <w:proofErr w:type="gramEnd"/>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90/95</m:t>
            </m:r>
          </m:sub>
        </m:sSub>
      </m:oMath>
      <w:r w:rsidR="008A745C" w:rsidRPr="00516EF2">
        <w:t>,</w:t>
      </w:r>
      <w:r w:rsidR="00D017D5" w:rsidRPr="00516EF2">
        <w:t xml:space="preserve"> is the estimated </w:t>
      </w:r>
      <w:r w:rsidR="00876303" w:rsidRPr="00516EF2">
        <w:t>crack length</w:t>
      </w:r>
      <w:r w:rsidR="00D017D5" w:rsidRPr="00516EF2">
        <w:t xml:space="preserve"> for which they are predicted to have a 90% probability of detection at 95% confidence. </w:t>
      </w:r>
      <w:r w:rsidR="008D5861" w:rsidRPr="00516EF2">
        <w:t xml:space="preserve">A unique score must be </w:t>
      </w:r>
      <w:r w:rsidR="001D1F6F" w:rsidRPr="00516EF2">
        <w:t>obtained</w:t>
      </w:r>
      <w:r w:rsidR="008D5861" w:rsidRPr="00516EF2">
        <w:t xml:space="preserve"> for each penetrant-method combination [</w:t>
      </w:r>
      <w:r w:rsidR="0040356B" w:rsidRPr="00516EF2">
        <w:t>5].</w:t>
      </w:r>
      <w:r w:rsidR="003A6E7C" w:rsidRPr="00516EF2">
        <w:t xml:space="preserve"> </w:t>
      </w:r>
    </w:p>
    <w:p w14:paraId="5531F396" w14:textId="1FF6E3E6" w:rsidR="003A6E7C" w:rsidRPr="00516EF2" w:rsidRDefault="003A6E7C" w:rsidP="008D5861">
      <w:pPr>
        <w:pStyle w:val="BODYTEXTPAPERSUMMARY"/>
      </w:pPr>
    </w:p>
    <w:p w14:paraId="375A1ECD" w14:textId="5118BF3D" w:rsidR="0040356B" w:rsidRDefault="00F92842" w:rsidP="00F92842">
      <w:pPr>
        <w:pStyle w:val="BODYTEXTPAPERSUMMARY"/>
      </w:pPr>
      <w:r w:rsidRPr="00516EF2">
        <w:t>The RS-25 program at AR completed a recent effort (2019-2021) to replace the panel set used by its FPI inspectors for their POD demonstration testing</w:t>
      </w:r>
      <w:r w:rsidR="0040356B" w:rsidRPr="00516EF2">
        <w:t xml:space="preserve"> for identification of mechanical fatigue flaws</w:t>
      </w:r>
      <w:r w:rsidRPr="00516EF2">
        <w:t>.</w:t>
      </w:r>
      <w:r w:rsidR="0040356B" w:rsidRPr="00516EF2">
        <w:t xml:space="preserve"> The panel set i</w:t>
      </w:r>
      <w:r w:rsidRPr="00516EF2">
        <w:t xml:space="preserve">s </w:t>
      </w:r>
      <w:r w:rsidR="0040356B" w:rsidRPr="00516EF2">
        <w:t>needed</w:t>
      </w:r>
      <w:r w:rsidRPr="00516EF2">
        <w:t xml:space="preserve"> by RS-25 NDE to qualify inspectors for Level 3 (High) and 4 (Ultra-High) penetrant sensitivities, each with Line of Sight (</w:t>
      </w:r>
      <w:proofErr w:type="spellStart"/>
      <w:r w:rsidRPr="00516EF2">
        <w:t>LoS</w:t>
      </w:r>
      <w:proofErr w:type="spellEnd"/>
      <w:r w:rsidRPr="00516EF2">
        <w:t>) and Borescope (BS) methods. Demonstration testing takes place in-house at multiple sites, as well as</w:t>
      </w:r>
      <w:r w:rsidR="005B0F66" w:rsidRPr="00516EF2">
        <w:t xml:space="preserve"> </w:t>
      </w:r>
      <w:r w:rsidRPr="00516EF2">
        <w:t xml:space="preserve">numerous vendor facilities. All inspectors must re-qualify every 3 years, for each penetrant-method combination. Hardware is only accepted if inspected by a certified inspector who has achieved a POD score below the designated critical initial flaw size (CIFS) for that component, calculated analytically per fracture </w:t>
      </w:r>
      <w:r>
        <w:t xml:space="preserve">mechanics. </w:t>
      </w:r>
    </w:p>
    <w:p w14:paraId="52CDD7BB" w14:textId="77777777" w:rsidR="0040356B" w:rsidRDefault="0040356B" w:rsidP="00F92842">
      <w:pPr>
        <w:pStyle w:val="BODYTEXTPAPERSUMMARY"/>
      </w:pPr>
    </w:p>
    <w:p w14:paraId="581884F1" w14:textId="4B7DBFBF" w:rsidR="00F92842" w:rsidRPr="000F3605" w:rsidRDefault="00A82AD6" w:rsidP="00E06BE0">
      <w:pPr>
        <w:pStyle w:val="BODYTEXTPAPERSUMMARY"/>
      </w:pPr>
      <w:r>
        <w:t xml:space="preserve">The legacy specimen standard </w:t>
      </w:r>
      <w:r w:rsidR="0085794F">
        <w:t xml:space="preserve">had been in use </w:t>
      </w:r>
      <w:r w:rsidR="003C397A">
        <w:t xml:space="preserve">for </w:t>
      </w:r>
      <w:r w:rsidR="0085794F">
        <w:t xml:space="preserve">over 40 years </w:t>
      </w:r>
      <w:r w:rsidR="00D017D5">
        <w:t xml:space="preserve">and had undergone </w:t>
      </w:r>
      <w:r>
        <w:t>multiple refurbishments</w:t>
      </w:r>
      <w:r w:rsidR="0085794F">
        <w:t xml:space="preserve"> to extend its useful life</w:t>
      </w:r>
      <w:r w:rsidR="00A94B07">
        <w:t>. However,</w:t>
      </w:r>
      <w:r w:rsidR="0085794F">
        <w:t xml:space="preserve"> </w:t>
      </w:r>
      <w:r w:rsidR="00D017D5">
        <w:t xml:space="preserve">the </w:t>
      </w:r>
      <w:r>
        <w:t>condition</w:t>
      </w:r>
      <w:r w:rsidR="00D017D5">
        <w:t xml:space="preserve"> of the </w:t>
      </w:r>
      <w:r w:rsidR="0040356B">
        <w:t xml:space="preserve">fatigue </w:t>
      </w:r>
      <w:r w:rsidR="00D017D5">
        <w:t>flaws on the panel set</w:t>
      </w:r>
      <w:r>
        <w:t xml:space="preserve"> </w:t>
      </w:r>
      <w:r w:rsidR="001D1F6F">
        <w:t xml:space="preserve">was </w:t>
      </w:r>
      <w:r w:rsidR="004862E0">
        <w:t xml:space="preserve">further </w:t>
      </w:r>
      <w:r w:rsidR="001D1F6F">
        <w:t xml:space="preserve">deteriorating </w:t>
      </w:r>
      <w:r w:rsidR="00D017D5">
        <w:t>and additional investment</w:t>
      </w:r>
      <w:r w:rsidR="001D1F6F">
        <w:t>s</w:t>
      </w:r>
      <w:r w:rsidR="00D017D5">
        <w:t xml:space="preserve"> in life extension activities were </w:t>
      </w:r>
      <w:r w:rsidR="001D1F6F">
        <w:t>not considered value-added or even necessarily viable. The distribution of flaws on the panel set had also been a matter of concern due to difficulties achieving convergence</w:t>
      </w:r>
      <w:r w:rsidR="0040356B">
        <w:t xml:space="preserve"> in model fits</w:t>
      </w:r>
      <w:r w:rsidR="00725800">
        <w:t xml:space="preserve"> for the logistic regression</w:t>
      </w:r>
      <w:r w:rsidR="001D1F6F">
        <w:t xml:space="preserve">, so this was considered an opportunity to </w:t>
      </w:r>
      <w:r w:rsidR="003C397A">
        <w:t>re-baseline</w:t>
      </w:r>
      <w:r w:rsidR="001D1F6F">
        <w:t xml:space="preserve"> the process to better position </w:t>
      </w:r>
      <w:r w:rsidR="008A0965">
        <w:t>the program for th</w:t>
      </w:r>
      <w:r w:rsidR="00535D99">
        <w:t xml:space="preserve">e </w:t>
      </w:r>
      <w:r w:rsidR="001D1F6F">
        <w:t xml:space="preserve">future.  </w:t>
      </w:r>
      <w:r w:rsidR="00876303">
        <w:t xml:space="preserve">This discussion focuses on </w:t>
      </w:r>
      <w:r w:rsidR="005B0F66">
        <w:t xml:space="preserve">the statistical considerations behind how </w:t>
      </w:r>
      <w:r w:rsidR="00FC5C56">
        <w:t xml:space="preserve">the </w:t>
      </w:r>
      <w:r w:rsidR="00876303">
        <w:t>flaw allocation for the new panel set</w:t>
      </w:r>
      <w:r w:rsidR="00FC5C56">
        <w:t xml:space="preserve"> was defined, as a critical aspect of the panel acquisition process</w:t>
      </w:r>
      <w:r w:rsidR="00876303">
        <w:t>.</w:t>
      </w:r>
    </w:p>
    <w:p w14:paraId="192E902D" w14:textId="4424D718" w:rsidR="00A513B0" w:rsidRDefault="00A513B0" w:rsidP="00F84B43">
      <w:pPr>
        <w:pStyle w:val="BODYTEXTPAPERSUMMARY"/>
      </w:pPr>
    </w:p>
    <w:p w14:paraId="293084A0" w14:textId="0C44DD5B" w:rsidR="00215094" w:rsidRDefault="00E70D82" w:rsidP="00A513B0">
      <w:pPr>
        <w:pStyle w:val="SUBHEAD1PAPERSUMMARY"/>
      </w:pPr>
      <w:r>
        <w:t xml:space="preserve">PRELIMINARY </w:t>
      </w:r>
      <w:r w:rsidR="00876303">
        <w:t xml:space="preserve">PANEL SET </w:t>
      </w:r>
      <w:r w:rsidR="00F92842">
        <w:t>DEFINITION</w:t>
      </w:r>
    </w:p>
    <w:p w14:paraId="4C79CCE6" w14:textId="05609A08" w:rsidR="00A44410" w:rsidRDefault="00E70D82" w:rsidP="00A513B0">
      <w:pPr>
        <w:pStyle w:val="SUBHEAD1PAPERSUMMARY"/>
        <w:rPr>
          <w:b w:val="0"/>
          <w:sz w:val="20"/>
          <w:szCs w:val="20"/>
        </w:rPr>
      </w:pPr>
      <w:r>
        <w:rPr>
          <w:b w:val="0"/>
          <w:sz w:val="20"/>
          <w:szCs w:val="20"/>
        </w:rPr>
        <w:t>Initial d</w:t>
      </w:r>
      <w:r w:rsidR="00A44410">
        <w:rPr>
          <w:b w:val="0"/>
          <w:sz w:val="20"/>
          <w:szCs w:val="20"/>
        </w:rPr>
        <w:t>esign and development of</w:t>
      </w:r>
      <w:r>
        <w:rPr>
          <w:b w:val="0"/>
          <w:sz w:val="20"/>
          <w:szCs w:val="20"/>
        </w:rPr>
        <w:t xml:space="preserve"> </w:t>
      </w:r>
      <w:r w:rsidR="00A44410">
        <w:rPr>
          <w:b w:val="0"/>
          <w:sz w:val="20"/>
          <w:szCs w:val="20"/>
        </w:rPr>
        <w:t xml:space="preserve">panel set requirements </w:t>
      </w:r>
      <w:r w:rsidR="005F088A">
        <w:rPr>
          <w:b w:val="0"/>
          <w:sz w:val="20"/>
          <w:szCs w:val="20"/>
        </w:rPr>
        <w:t xml:space="preserve">had two </w:t>
      </w:r>
      <w:r w:rsidR="004862E0">
        <w:rPr>
          <w:b w:val="0"/>
          <w:sz w:val="20"/>
          <w:szCs w:val="20"/>
        </w:rPr>
        <w:t>phases</w:t>
      </w:r>
      <w:r w:rsidR="00AF43F7">
        <w:rPr>
          <w:b w:val="0"/>
          <w:sz w:val="20"/>
          <w:szCs w:val="20"/>
        </w:rPr>
        <w:t>:</w:t>
      </w:r>
      <w:r w:rsidR="00A44410">
        <w:rPr>
          <w:b w:val="0"/>
          <w:sz w:val="20"/>
          <w:szCs w:val="20"/>
        </w:rPr>
        <w:t xml:space="preserve"> </w:t>
      </w:r>
      <w:r w:rsidR="003C397A">
        <w:rPr>
          <w:b w:val="0"/>
          <w:sz w:val="20"/>
          <w:szCs w:val="20"/>
        </w:rPr>
        <w:t>(</w:t>
      </w:r>
      <w:r w:rsidR="00E06BE0">
        <w:rPr>
          <w:b w:val="0"/>
          <w:sz w:val="20"/>
          <w:szCs w:val="20"/>
        </w:rPr>
        <w:t>1</w:t>
      </w:r>
      <w:r w:rsidR="003C397A">
        <w:rPr>
          <w:b w:val="0"/>
          <w:sz w:val="20"/>
          <w:szCs w:val="20"/>
        </w:rPr>
        <w:t xml:space="preserve">) </w:t>
      </w:r>
      <w:r w:rsidR="00A44410">
        <w:rPr>
          <w:b w:val="0"/>
          <w:sz w:val="20"/>
          <w:szCs w:val="20"/>
        </w:rPr>
        <w:t xml:space="preserve">programmatic practical decisions that were needed up front </w:t>
      </w:r>
      <w:r w:rsidR="003C397A">
        <w:rPr>
          <w:b w:val="0"/>
          <w:sz w:val="20"/>
          <w:szCs w:val="20"/>
        </w:rPr>
        <w:t>(</w:t>
      </w:r>
      <w:r w:rsidR="00A44410">
        <w:rPr>
          <w:b w:val="0"/>
          <w:sz w:val="20"/>
          <w:szCs w:val="20"/>
        </w:rPr>
        <w:t xml:space="preserve">e.g., </w:t>
      </w:r>
      <w:r w:rsidR="00E26FF6">
        <w:rPr>
          <w:b w:val="0"/>
          <w:sz w:val="20"/>
          <w:szCs w:val="20"/>
        </w:rPr>
        <w:t xml:space="preserve">vendor, </w:t>
      </w:r>
      <w:r w:rsidR="007202E3">
        <w:rPr>
          <w:b w:val="0"/>
          <w:sz w:val="20"/>
          <w:szCs w:val="20"/>
        </w:rPr>
        <w:t xml:space="preserve">flaw type, </w:t>
      </w:r>
      <w:r w:rsidR="00E26FF6">
        <w:rPr>
          <w:b w:val="0"/>
          <w:sz w:val="20"/>
          <w:szCs w:val="20"/>
        </w:rPr>
        <w:t>panel dimensions</w:t>
      </w:r>
      <w:r w:rsidR="003C397A">
        <w:rPr>
          <w:b w:val="0"/>
          <w:sz w:val="20"/>
          <w:szCs w:val="20"/>
        </w:rPr>
        <w:t>,</w:t>
      </w:r>
      <w:r w:rsidR="00E26FF6">
        <w:rPr>
          <w:b w:val="0"/>
          <w:sz w:val="20"/>
          <w:szCs w:val="20"/>
        </w:rPr>
        <w:t xml:space="preserve"> and material</w:t>
      </w:r>
      <w:r w:rsidR="003C397A">
        <w:rPr>
          <w:b w:val="0"/>
          <w:sz w:val="20"/>
          <w:szCs w:val="20"/>
        </w:rPr>
        <w:t>), and (</w:t>
      </w:r>
      <w:r w:rsidR="00E06BE0">
        <w:rPr>
          <w:b w:val="0"/>
          <w:sz w:val="20"/>
          <w:szCs w:val="20"/>
        </w:rPr>
        <w:t>2</w:t>
      </w:r>
      <w:r w:rsidR="003C397A">
        <w:rPr>
          <w:b w:val="0"/>
          <w:sz w:val="20"/>
          <w:szCs w:val="20"/>
        </w:rPr>
        <w:t xml:space="preserve">) </w:t>
      </w:r>
      <w:r w:rsidR="00A44410">
        <w:rPr>
          <w:b w:val="0"/>
          <w:sz w:val="20"/>
          <w:szCs w:val="20"/>
        </w:rPr>
        <w:t>refining the request, speci</w:t>
      </w:r>
      <w:r>
        <w:rPr>
          <w:b w:val="0"/>
          <w:sz w:val="20"/>
          <w:szCs w:val="20"/>
        </w:rPr>
        <w:t>fic</w:t>
      </w:r>
      <w:r w:rsidR="00A44410">
        <w:rPr>
          <w:b w:val="0"/>
          <w:sz w:val="20"/>
          <w:szCs w:val="20"/>
        </w:rPr>
        <w:t xml:space="preserve">ally related to the total </w:t>
      </w:r>
      <w:r w:rsidR="00E26FF6">
        <w:rPr>
          <w:b w:val="0"/>
          <w:sz w:val="20"/>
          <w:szCs w:val="20"/>
        </w:rPr>
        <w:t>flaw count</w:t>
      </w:r>
      <w:r w:rsidR="007202E3">
        <w:rPr>
          <w:b w:val="0"/>
          <w:sz w:val="20"/>
          <w:szCs w:val="20"/>
        </w:rPr>
        <w:t xml:space="preserve"> and </w:t>
      </w:r>
      <w:r>
        <w:rPr>
          <w:b w:val="0"/>
          <w:sz w:val="20"/>
          <w:szCs w:val="20"/>
        </w:rPr>
        <w:t>how the flaws</w:t>
      </w:r>
      <w:r w:rsidR="00A44410">
        <w:rPr>
          <w:b w:val="0"/>
          <w:sz w:val="20"/>
          <w:szCs w:val="20"/>
        </w:rPr>
        <w:t xml:space="preserve"> were distributed</w:t>
      </w:r>
      <w:r>
        <w:rPr>
          <w:b w:val="0"/>
          <w:sz w:val="20"/>
          <w:szCs w:val="20"/>
        </w:rPr>
        <w:t>, or allocated,</w:t>
      </w:r>
      <w:r w:rsidR="00E26FF6">
        <w:rPr>
          <w:b w:val="0"/>
          <w:sz w:val="20"/>
          <w:szCs w:val="20"/>
        </w:rPr>
        <w:t xml:space="preserve"> on the panels</w:t>
      </w:r>
      <w:r w:rsidR="007202E3">
        <w:rPr>
          <w:b w:val="0"/>
          <w:sz w:val="20"/>
          <w:szCs w:val="20"/>
        </w:rPr>
        <w:t>.</w:t>
      </w:r>
      <w:r w:rsidR="005F088A">
        <w:rPr>
          <w:b w:val="0"/>
          <w:sz w:val="20"/>
          <w:szCs w:val="20"/>
        </w:rPr>
        <w:t xml:space="preserve">  </w:t>
      </w:r>
    </w:p>
    <w:p w14:paraId="2CF708B6" w14:textId="1C15E664" w:rsidR="00A44410" w:rsidRDefault="00A44410" w:rsidP="00A513B0">
      <w:pPr>
        <w:pStyle w:val="SUBHEAD1PAPERSUMMARY"/>
        <w:rPr>
          <w:b w:val="0"/>
          <w:sz w:val="20"/>
          <w:szCs w:val="20"/>
        </w:rPr>
      </w:pPr>
    </w:p>
    <w:p w14:paraId="0F344D9E" w14:textId="472B2515" w:rsidR="00A44410" w:rsidRPr="00A44410" w:rsidRDefault="00A44410" w:rsidP="00A513B0">
      <w:pPr>
        <w:pStyle w:val="SUBHEAD1PAPERSUMMARY"/>
        <w:rPr>
          <w:sz w:val="20"/>
          <w:szCs w:val="20"/>
        </w:rPr>
      </w:pPr>
      <w:r>
        <w:rPr>
          <w:sz w:val="20"/>
          <w:szCs w:val="20"/>
        </w:rPr>
        <w:t>Programmatic</w:t>
      </w:r>
      <w:r w:rsidR="00E70D82">
        <w:rPr>
          <w:sz w:val="20"/>
          <w:szCs w:val="20"/>
        </w:rPr>
        <w:t xml:space="preserve"> Con</w:t>
      </w:r>
      <w:r w:rsidR="001E7A2C">
        <w:rPr>
          <w:sz w:val="20"/>
          <w:szCs w:val="20"/>
        </w:rPr>
        <w:t>sideration</w:t>
      </w:r>
      <w:r w:rsidR="00E70D82">
        <w:rPr>
          <w:sz w:val="20"/>
          <w:szCs w:val="20"/>
        </w:rPr>
        <w:t>s</w:t>
      </w:r>
    </w:p>
    <w:p w14:paraId="27A7D362" w14:textId="7DC5BA5D" w:rsidR="008F349B" w:rsidRDefault="007202E3" w:rsidP="00A513B0">
      <w:pPr>
        <w:pStyle w:val="SUBHEAD1PAPERSUMMARY"/>
        <w:rPr>
          <w:b w:val="0"/>
          <w:sz w:val="20"/>
          <w:szCs w:val="20"/>
        </w:rPr>
      </w:pPr>
      <w:r>
        <w:rPr>
          <w:b w:val="0"/>
          <w:sz w:val="20"/>
          <w:szCs w:val="20"/>
        </w:rPr>
        <w:t xml:space="preserve">The original manufacturer of the legacy panel set was no longer available, so a new panel set vendor was </w:t>
      </w:r>
      <w:r w:rsidR="006E1CE4">
        <w:rPr>
          <w:b w:val="0"/>
          <w:sz w:val="20"/>
          <w:szCs w:val="20"/>
        </w:rPr>
        <w:t>necessary</w:t>
      </w:r>
      <w:r w:rsidR="00E70D82">
        <w:rPr>
          <w:b w:val="0"/>
          <w:sz w:val="20"/>
          <w:szCs w:val="20"/>
        </w:rPr>
        <w:t>. Obtaining the legacy panel materials, Inconel 718 with AMS5593 plate, was not an issue. However, t</w:t>
      </w:r>
      <w:r w:rsidR="00F92842" w:rsidRPr="00F92842">
        <w:rPr>
          <w:b w:val="0"/>
          <w:sz w:val="20"/>
          <w:szCs w:val="20"/>
        </w:rPr>
        <w:t xml:space="preserve">he legacy panel set </w:t>
      </w:r>
      <w:r>
        <w:rPr>
          <w:b w:val="0"/>
          <w:sz w:val="20"/>
          <w:szCs w:val="20"/>
        </w:rPr>
        <w:t>had been</w:t>
      </w:r>
      <w:r w:rsidR="00F92842" w:rsidRPr="00F92842">
        <w:rPr>
          <w:b w:val="0"/>
          <w:sz w:val="20"/>
          <w:szCs w:val="20"/>
        </w:rPr>
        <w:t xml:space="preserve"> produced using mechanical fatigue, </w:t>
      </w:r>
      <w:r w:rsidR="00602F20">
        <w:rPr>
          <w:b w:val="0"/>
          <w:sz w:val="20"/>
          <w:szCs w:val="20"/>
        </w:rPr>
        <w:t xml:space="preserve">but </w:t>
      </w:r>
      <w:r w:rsidR="00F92842" w:rsidRPr="00F92842">
        <w:rPr>
          <w:b w:val="0"/>
          <w:sz w:val="20"/>
          <w:szCs w:val="20"/>
        </w:rPr>
        <w:t>only therma</w:t>
      </w:r>
      <w:r>
        <w:rPr>
          <w:b w:val="0"/>
          <w:sz w:val="20"/>
          <w:szCs w:val="20"/>
        </w:rPr>
        <w:t>lly-generated fatigue cracks were presently available.</w:t>
      </w:r>
      <w:r w:rsidR="006E1CE4">
        <w:rPr>
          <w:b w:val="0"/>
          <w:sz w:val="20"/>
          <w:szCs w:val="20"/>
        </w:rPr>
        <w:t xml:space="preserve"> The team considered this </w:t>
      </w:r>
      <w:r w:rsidR="00E70D82">
        <w:rPr>
          <w:b w:val="0"/>
          <w:sz w:val="20"/>
          <w:szCs w:val="20"/>
        </w:rPr>
        <w:t xml:space="preserve">a </w:t>
      </w:r>
      <w:r w:rsidR="00A44410">
        <w:rPr>
          <w:b w:val="0"/>
          <w:sz w:val="20"/>
          <w:szCs w:val="20"/>
        </w:rPr>
        <w:t>disadvantage</w:t>
      </w:r>
      <w:r w:rsidR="00E70D82">
        <w:rPr>
          <w:b w:val="0"/>
          <w:sz w:val="20"/>
          <w:szCs w:val="20"/>
        </w:rPr>
        <w:t xml:space="preserve"> since</w:t>
      </w:r>
      <w:r>
        <w:rPr>
          <w:b w:val="0"/>
          <w:sz w:val="20"/>
          <w:szCs w:val="20"/>
        </w:rPr>
        <w:t xml:space="preserve"> thermally produced cracks </w:t>
      </w:r>
      <w:r w:rsidR="00E70D82">
        <w:rPr>
          <w:b w:val="0"/>
          <w:sz w:val="20"/>
          <w:szCs w:val="20"/>
        </w:rPr>
        <w:t xml:space="preserve">were expected </w:t>
      </w:r>
      <w:r>
        <w:rPr>
          <w:b w:val="0"/>
          <w:sz w:val="20"/>
          <w:szCs w:val="20"/>
        </w:rPr>
        <w:t>to be somewhat more easily visible to the inspect</w:t>
      </w:r>
      <w:r w:rsidR="008F349B">
        <w:rPr>
          <w:b w:val="0"/>
          <w:sz w:val="20"/>
          <w:szCs w:val="20"/>
        </w:rPr>
        <w:t>ors, so anticipated PO</w:t>
      </w:r>
      <w:r w:rsidR="00E70D82">
        <w:rPr>
          <w:b w:val="0"/>
          <w:sz w:val="20"/>
          <w:szCs w:val="20"/>
        </w:rPr>
        <w:t xml:space="preserve">D scores </w:t>
      </w:r>
      <w:r w:rsidR="00FE0CC4">
        <w:rPr>
          <w:b w:val="0"/>
          <w:sz w:val="20"/>
          <w:szCs w:val="20"/>
        </w:rPr>
        <w:t>could</w:t>
      </w:r>
      <w:r w:rsidR="00602F20">
        <w:rPr>
          <w:b w:val="0"/>
          <w:sz w:val="20"/>
          <w:szCs w:val="20"/>
        </w:rPr>
        <w:t>, in theory,</w:t>
      </w:r>
      <w:r w:rsidR="00E70D82">
        <w:rPr>
          <w:b w:val="0"/>
          <w:sz w:val="20"/>
          <w:szCs w:val="20"/>
        </w:rPr>
        <w:t xml:space="preserve"> improve slightly due to this inherent system bias</w:t>
      </w:r>
      <w:r w:rsidR="00372803">
        <w:rPr>
          <w:b w:val="0"/>
          <w:sz w:val="20"/>
          <w:szCs w:val="20"/>
        </w:rPr>
        <w:t xml:space="preserve"> in the tool</w:t>
      </w:r>
      <w:r w:rsidR="00E26FF6">
        <w:rPr>
          <w:b w:val="0"/>
          <w:sz w:val="20"/>
          <w:szCs w:val="20"/>
        </w:rPr>
        <w:t>.</w:t>
      </w:r>
      <w:r w:rsidR="008F349B">
        <w:rPr>
          <w:b w:val="0"/>
          <w:sz w:val="20"/>
          <w:szCs w:val="20"/>
        </w:rPr>
        <w:t xml:space="preserve"> </w:t>
      </w:r>
      <w:r w:rsidR="00E26FF6">
        <w:rPr>
          <w:b w:val="0"/>
          <w:sz w:val="20"/>
          <w:szCs w:val="20"/>
        </w:rPr>
        <w:t xml:space="preserve">The legacy panels themselves were larger than the standard dimensions now </w:t>
      </w:r>
      <w:r w:rsidR="00E26FF6">
        <w:rPr>
          <w:b w:val="0"/>
          <w:sz w:val="20"/>
          <w:szCs w:val="20"/>
        </w:rPr>
        <w:lastRenderedPageBreak/>
        <w:t>available, so the team considered a custom order to replace the existing panels exactly (</w:t>
      </w:r>
      <w:r w:rsidR="00273FC3">
        <w:rPr>
          <w:b w:val="0"/>
          <w:sz w:val="20"/>
          <w:szCs w:val="20"/>
        </w:rPr>
        <w:t xml:space="preserve">meaning </w:t>
      </w:r>
      <w:r w:rsidR="00E26FF6">
        <w:rPr>
          <w:b w:val="0"/>
          <w:sz w:val="20"/>
          <w:szCs w:val="20"/>
        </w:rPr>
        <w:t xml:space="preserve">fewer larger panels), as well as the new standard dimensions (more smaller panels). </w:t>
      </w:r>
      <w:r w:rsidR="008F349B">
        <w:rPr>
          <w:b w:val="0"/>
          <w:sz w:val="20"/>
          <w:szCs w:val="20"/>
        </w:rPr>
        <w:t>Acquiring the smaller panels provided some human factors advantages: easier transportability, less risk of loss or damage</w:t>
      </w:r>
      <w:r w:rsidR="00E70D82">
        <w:rPr>
          <w:b w:val="0"/>
          <w:sz w:val="20"/>
          <w:szCs w:val="20"/>
        </w:rPr>
        <w:t xml:space="preserve"> to the set if</w:t>
      </w:r>
      <w:r w:rsidR="008F349B">
        <w:rPr>
          <w:b w:val="0"/>
          <w:sz w:val="20"/>
          <w:szCs w:val="20"/>
        </w:rPr>
        <w:t xml:space="preserve"> individual panels</w:t>
      </w:r>
      <w:r w:rsidR="00E70D82">
        <w:rPr>
          <w:b w:val="0"/>
          <w:sz w:val="20"/>
          <w:szCs w:val="20"/>
        </w:rPr>
        <w:t xml:space="preserve"> had issues</w:t>
      </w:r>
      <w:r w:rsidR="008F349B">
        <w:rPr>
          <w:b w:val="0"/>
          <w:sz w:val="20"/>
          <w:szCs w:val="20"/>
        </w:rPr>
        <w:t xml:space="preserve">, and limiting the ability of the inspectors to </w:t>
      </w:r>
      <w:r w:rsidR="006E1CE4">
        <w:rPr>
          <w:b w:val="0"/>
          <w:sz w:val="20"/>
          <w:szCs w:val="20"/>
        </w:rPr>
        <w:t xml:space="preserve">mentally </w:t>
      </w:r>
      <w:r w:rsidR="008F349B">
        <w:rPr>
          <w:b w:val="0"/>
          <w:sz w:val="20"/>
          <w:szCs w:val="20"/>
        </w:rPr>
        <w:t>retain</w:t>
      </w:r>
      <w:r w:rsidR="00B60065">
        <w:rPr>
          <w:b w:val="0"/>
          <w:sz w:val="20"/>
          <w:szCs w:val="20"/>
        </w:rPr>
        <w:t xml:space="preserve"> information on flaw locations. The final full panel set received consisted of 52</w:t>
      </w:r>
      <w:r w:rsidR="00731D3B">
        <w:rPr>
          <w:b w:val="0"/>
          <w:sz w:val="20"/>
          <w:szCs w:val="20"/>
        </w:rPr>
        <w:t xml:space="preserve"> </w:t>
      </w:r>
      <w:r w:rsidR="00B60065">
        <w:rPr>
          <w:b w:val="0"/>
          <w:sz w:val="20"/>
          <w:szCs w:val="20"/>
        </w:rPr>
        <w:t xml:space="preserve">smaller </w:t>
      </w:r>
      <w:r w:rsidR="00290EDB">
        <w:rPr>
          <w:b w:val="0"/>
          <w:sz w:val="20"/>
          <w:szCs w:val="20"/>
        </w:rPr>
        <w:t xml:space="preserve">two-sided </w:t>
      </w:r>
      <w:r w:rsidR="00B60065">
        <w:rPr>
          <w:b w:val="0"/>
          <w:sz w:val="20"/>
          <w:szCs w:val="20"/>
        </w:rPr>
        <w:t>panels</w:t>
      </w:r>
      <w:r w:rsidR="00290EDB">
        <w:rPr>
          <w:b w:val="0"/>
          <w:sz w:val="20"/>
          <w:szCs w:val="20"/>
        </w:rPr>
        <w:t>, which also includes blanks</w:t>
      </w:r>
      <w:r w:rsidR="00B60065">
        <w:rPr>
          <w:b w:val="0"/>
          <w:sz w:val="20"/>
          <w:szCs w:val="20"/>
        </w:rPr>
        <w:t>.</w:t>
      </w:r>
    </w:p>
    <w:p w14:paraId="7D4E7B44" w14:textId="404697CD" w:rsidR="008F349B" w:rsidRDefault="008F349B" w:rsidP="00A513B0">
      <w:pPr>
        <w:pStyle w:val="SUBHEAD1PAPERSUMMARY"/>
        <w:rPr>
          <w:b w:val="0"/>
          <w:sz w:val="20"/>
          <w:szCs w:val="20"/>
        </w:rPr>
      </w:pPr>
    </w:p>
    <w:p w14:paraId="6F3A64C5" w14:textId="298FC474" w:rsidR="00876303" w:rsidRPr="00876303" w:rsidRDefault="00876303" w:rsidP="00876303">
      <w:pPr>
        <w:pStyle w:val="BODYTEXTPAPERSUMMARY"/>
        <w:rPr>
          <w:b/>
          <w:color w:val="000000" w:themeColor="text1"/>
        </w:rPr>
      </w:pPr>
      <w:r w:rsidRPr="00876303">
        <w:rPr>
          <w:b/>
          <w:color w:val="000000" w:themeColor="text1"/>
        </w:rPr>
        <w:t>Flaw Count</w:t>
      </w:r>
    </w:p>
    <w:p w14:paraId="42E6B0B2" w14:textId="2CEC191B" w:rsidR="00F92842" w:rsidRDefault="00E26FF6" w:rsidP="00A513B0">
      <w:pPr>
        <w:pStyle w:val="SUBHEAD1PAPERSUMMARY"/>
        <w:rPr>
          <w:b w:val="0"/>
          <w:sz w:val="20"/>
          <w:szCs w:val="20"/>
        </w:rPr>
      </w:pPr>
      <w:r>
        <w:rPr>
          <w:b w:val="0"/>
          <w:sz w:val="20"/>
          <w:szCs w:val="20"/>
        </w:rPr>
        <w:t>A priority of the team was to provide sufficient flaws to provide margin against future losses, to mitigate the risks associated with losing flaws to the analysis that had been encountered with the legacy set</w:t>
      </w:r>
      <w:r w:rsidR="00273FC3">
        <w:rPr>
          <w:b w:val="0"/>
          <w:sz w:val="20"/>
          <w:szCs w:val="20"/>
        </w:rPr>
        <w:t>, given the long life</w:t>
      </w:r>
      <w:r w:rsidR="007D3729">
        <w:rPr>
          <w:b w:val="0"/>
          <w:sz w:val="20"/>
          <w:szCs w:val="20"/>
        </w:rPr>
        <w:t>-</w:t>
      </w:r>
      <w:r w:rsidR="00273FC3">
        <w:rPr>
          <w:b w:val="0"/>
          <w:sz w:val="20"/>
          <w:szCs w:val="20"/>
        </w:rPr>
        <w:t xml:space="preserve">span the specimens </w:t>
      </w:r>
      <w:r w:rsidR="00E70D82">
        <w:rPr>
          <w:b w:val="0"/>
          <w:sz w:val="20"/>
          <w:szCs w:val="20"/>
        </w:rPr>
        <w:t>are expected to be</w:t>
      </w:r>
      <w:r w:rsidR="00273FC3">
        <w:rPr>
          <w:b w:val="0"/>
          <w:sz w:val="20"/>
          <w:szCs w:val="20"/>
        </w:rPr>
        <w:t xml:space="preserve"> in use</w:t>
      </w:r>
      <w:r>
        <w:rPr>
          <w:b w:val="0"/>
          <w:sz w:val="20"/>
          <w:szCs w:val="20"/>
        </w:rPr>
        <w:t>. The team a</w:t>
      </w:r>
      <w:r w:rsidR="00273FC3">
        <w:rPr>
          <w:b w:val="0"/>
          <w:sz w:val="20"/>
          <w:szCs w:val="20"/>
        </w:rPr>
        <w:t xml:space="preserve">lso wanted to narrow the uncertainty bands associated with the estimation process, so intended to </w:t>
      </w:r>
      <w:r w:rsidR="007D3729">
        <w:rPr>
          <w:b w:val="0"/>
          <w:sz w:val="20"/>
          <w:szCs w:val="20"/>
        </w:rPr>
        <w:t xml:space="preserve">use </w:t>
      </w:r>
      <w:r w:rsidR="00273FC3">
        <w:rPr>
          <w:b w:val="0"/>
          <w:sz w:val="20"/>
          <w:szCs w:val="20"/>
        </w:rPr>
        <w:t>more than the</w:t>
      </w:r>
      <w:r w:rsidR="007D3729">
        <w:rPr>
          <w:b w:val="0"/>
          <w:sz w:val="20"/>
          <w:szCs w:val="20"/>
        </w:rPr>
        <w:t xml:space="preserve"> recommended</w:t>
      </w:r>
      <w:r w:rsidR="00273FC3">
        <w:rPr>
          <w:b w:val="0"/>
          <w:sz w:val="20"/>
          <w:szCs w:val="20"/>
        </w:rPr>
        <w:t xml:space="preserve"> minimum 60 points</w:t>
      </w:r>
      <w:r w:rsidR="007D3729">
        <w:rPr>
          <w:rStyle w:val="CommentReference"/>
          <w:rFonts w:ascii="Cambria" w:hAnsi="Cambria"/>
          <w:b w:val="0"/>
        </w:rPr>
        <w:t>.</w:t>
      </w:r>
      <w:r w:rsidR="00273FC3">
        <w:rPr>
          <w:b w:val="0"/>
          <w:sz w:val="20"/>
          <w:szCs w:val="20"/>
        </w:rPr>
        <w:t xml:space="preserve"> The target set requested from the vendor was therefore for a minimum of 8</w:t>
      </w:r>
      <w:r w:rsidR="005F088A">
        <w:rPr>
          <w:b w:val="0"/>
          <w:sz w:val="20"/>
          <w:szCs w:val="20"/>
        </w:rPr>
        <w:t xml:space="preserve">0 flaws, </w:t>
      </w:r>
      <w:r w:rsidR="007D3729">
        <w:rPr>
          <w:b w:val="0"/>
          <w:sz w:val="20"/>
          <w:szCs w:val="20"/>
        </w:rPr>
        <w:t xml:space="preserve">to account for </w:t>
      </w:r>
      <w:r w:rsidR="005F088A">
        <w:rPr>
          <w:b w:val="0"/>
          <w:sz w:val="20"/>
          <w:szCs w:val="20"/>
        </w:rPr>
        <w:t xml:space="preserve">attrition over future years. </w:t>
      </w:r>
      <w:r w:rsidR="00876303">
        <w:rPr>
          <w:b w:val="0"/>
          <w:sz w:val="20"/>
          <w:szCs w:val="20"/>
        </w:rPr>
        <w:t xml:space="preserve">The final </w:t>
      </w:r>
      <w:r w:rsidR="00FE0CC4">
        <w:rPr>
          <w:b w:val="0"/>
          <w:sz w:val="20"/>
          <w:szCs w:val="20"/>
        </w:rPr>
        <w:t xml:space="preserve">total </w:t>
      </w:r>
      <w:r w:rsidR="00876303">
        <w:rPr>
          <w:b w:val="0"/>
          <w:sz w:val="20"/>
          <w:szCs w:val="20"/>
        </w:rPr>
        <w:t xml:space="preserve">number </w:t>
      </w:r>
      <w:r w:rsidR="00FE0CC4">
        <w:rPr>
          <w:b w:val="0"/>
          <w:sz w:val="20"/>
          <w:szCs w:val="20"/>
        </w:rPr>
        <w:t xml:space="preserve">of flaws </w:t>
      </w:r>
      <w:r w:rsidR="00876303">
        <w:rPr>
          <w:b w:val="0"/>
          <w:sz w:val="20"/>
          <w:szCs w:val="20"/>
        </w:rPr>
        <w:t>obtained was 87</w:t>
      </w:r>
      <w:r w:rsidR="005F088A">
        <w:rPr>
          <w:b w:val="0"/>
          <w:sz w:val="20"/>
          <w:szCs w:val="20"/>
        </w:rPr>
        <w:t xml:space="preserve">, which provided </w:t>
      </w:r>
      <w:r w:rsidR="007D3729">
        <w:rPr>
          <w:b w:val="0"/>
          <w:sz w:val="20"/>
          <w:szCs w:val="20"/>
        </w:rPr>
        <w:t xml:space="preserve">the </w:t>
      </w:r>
      <w:r w:rsidR="005F088A">
        <w:rPr>
          <w:b w:val="0"/>
          <w:sz w:val="20"/>
          <w:szCs w:val="20"/>
        </w:rPr>
        <w:t xml:space="preserve">ample margin over the target </w:t>
      </w:r>
      <w:r w:rsidR="007D3729">
        <w:rPr>
          <w:b w:val="0"/>
          <w:sz w:val="20"/>
          <w:szCs w:val="20"/>
        </w:rPr>
        <w:t xml:space="preserve">minimum </w:t>
      </w:r>
      <w:r w:rsidR="005F088A">
        <w:rPr>
          <w:b w:val="0"/>
          <w:sz w:val="20"/>
          <w:szCs w:val="20"/>
        </w:rPr>
        <w:t>count desired</w:t>
      </w:r>
      <w:r w:rsidR="00876303">
        <w:rPr>
          <w:b w:val="0"/>
          <w:sz w:val="20"/>
          <w:szCs w:val="20"/>
        </w:rPr>
        <w:t>.</w:t>
      </w:r>
    </w:p>
    <w:p w14:paraId="0ACDB4C8" w14:textId="7319BC89" w:rsidR="008F349B" w:rsidRDefault="008F349B" w:rsidP="00A513B0">
      <w:pPr>
        <w:pStyle w:val="SUBHEAD1PAPERSUMMARY"/>
        <w:rPr>
          <w:b w:val="0"/>
          <w:sz w:val="20"/>
          <w:szCs w:val="20"/>
        </w:rPr>
      </w:pPr>
    </w:p>
    <w:p w14:paraId="3D62C01E" w14:textId="2100E4CD" w:rsidR="00876303" w:rsidRPr="00876303" w:rsidRDefault="00876303" w:rsidP="00876303">
      <w:pPr>
        <w:pStyle w:val="BODYTEXTPAPERSUMMARY"/>
        <w:rPr>
          <w:b/>
          <w:color w:val="000000" w:themeColor="text1"/>
        </w:rPr>
      </w:pPr>
      <w:r w:rsidRPr="00876303">
        <w:rPr>
          <w:b/>
          <w:color w:val="000000" w:themeColor="text1"/>
        </w:rPr>
        <w:t xml:space="preserve">Flaw </w:t>
      </w:r>
      <w:r>
        <w:rPr>
          <w:b/>
          <w:color w:val="000000" w:themeColor="text1"/>
        </w:rPr>
        <w:t>Allocation</w:t>
      </w:r>
    </w:p>
    <w:p w14:paraId="7F1C7E4A" w14:textId="45D4CCCA" w:rsidR="00D27CFF" w:rsidRPr="001E7A2C" w:rsidRDefault="00B12DEB" w:rsidP="00A513B0">
      <w:pPr>
        <w:pStyle w:val="SUBHEAD1PAPERSUMMARY"/>
        <w:rPr>
          <w:b w:val="0"/>
          <w:sz w:val="20"/>
          <w:szCs w:val="20"/>
        </w:rPr>
      </w:pPr>
      <w:r>
        <w:rPr>
          <w:b w:val="0"/>
          <w:sz w:val="20"/>
          <w:szCs w:val="20"/>
        </w:rPr>
        <w:t>Selection of the</w:t>
      </w:r>
      <w:r w:rsidR="008F349B">
        <w:rPr>
          <w:b w:val="0"/>
          <w:sz w:val="20"/>
          <w:szCs w:val="20"/>
        </w:rPr>
        <w:t xml:space="preserve"> flaw distribution </w:t>
      </w:r>
      <w:r>
        <w:rPr>
          <w:b w:val="0"/>
          <w:sz w:val="20"/>
          <w:szCs w:val="20"/>
        </w:rPr>
        <w:t>for the panels was of critical importance to this project. More small flaws were needed, but how to allocate them presented challenges. The legac</w:t>
      </w:r>
      <w:r w:rsidRPr="001E7A2C">
        <w:rPr>
          <w:b w:val="0"/>
          <w:sz w:val="20"/>
          <w:szCs w:val="20"/>
        </w:rPr>
        <w:t xml:space="preserve">y </w:t>
      </w:r>
      <w:r w:rsidR="006C35C4" w:rsidRPr="001E7A2C">
        <w:rPr>
          <w:b w:val="0"/>
          <w:sz w:val="20"/>
          <w:szCs w:val="20"/>
        </w:rPr>
        <w:t xml:space="preserve">distribution had a concentration of values </w:t>
      </w:r>
      <w:r w:rsidR="00731D3B" w:rsidRPr="001E7A2C">
        <w:rPr>
          <w:b w:val="0"/>
          <w:sz w:val="20"/>
          <w:szCs w:val="20"/>
        </w:rPr>
        <w:t xml:space="preserve">(readily apparent on log scale) </w:t>
      </w:r>
      <w:r w:rsidR="006C35C4" w:rsidRPr="001E7A2C">
        <w:rPr>
          <w:b w:val="0"/>
          <w:sz w:val="20"/>
          <w:szCs w:val="20"/>
        </w:rPr>
        <w:t xml:space="preserve">and insufficient small flaws to be robust, as well as </w:t>
      </w:r>
      <w:r w:rsidR="007D3729" w:rsidRPr="001E7A2C">
        <w:rPr>
          <w:b w:val="0"/>
          <w:sz w:val="20"/>
          <w:szCs w:val="20"/>
        </w:rPr>
        <w:t xml:space="preserve">several </w:t>
      </w:r>
      <w:r w:rsidR="006C35C4" w:rsidRPr="001E7A2C">
        <w:rPr>
          <w:b w:val="0"/>
          <w:sz w:val="20"/>
          <w:szCs w:val="20"/>
        </w:rPr>
        <w:t>unnecessarily large flaws</w:t>
      </w:r>
      <w:r w:rsidR="00372803" w:rsidRPr="001E7A2C">
        <w:rPr>
          <w:b w:val="0"/>
          <w:sz w:val="20"/>
          <w:szCs w:val="20"/>
        </w:rPr>
        <w:t xml:space="preserve">, which resulted in </w:t>
      </w:r>
      <w:r w:rsidR="007D3729" w:rsidRPr="001E7A2C">
        <w:rPr>
          <w:b w:val="0"/>
          <w:sz w:val="20"/>
          <w:szCs w:val="20"/>
        </w:rPr>
        <w:t>an unsatisfactory spread</w:t>
      </w:r>
      <w:r w:rsidR="004E1D4C" w:rsidRPr="001E7A2C">
        <w:rPr>
          <w:b w:val="0"/>
          <w:sz w:val="20"/>
          <w:szCs w:val="20"/>
        </w:rPr>
        <w:t>.</w:t>
      </w:r>
      <w:r w:rsidR="00731D3B" w:rsidRPr="001E7A2C">
        <w:rPr>
          <w:b w:val="0"/>
          <w:sz w:val="20"/>
          <w:szCs w:val="20"/>
        </w:rPr>
        <w:t xml:space="preserve"> The team</w:t>
      </w:r>
      <w:r w:rsidR="007D3729" w:rsidRPr="001E7A2C">
        <w:rPr>
          <w:b w:val="0"/>
          <w:sz w:val="20"/>
          <w:szCs w:val="20"/>
        </w:rPr>
        <w:t>’s goal</w:t>
      </w:r>
      <w:r w:rsidR="00731D3B" w:rsidRPr="001E7A2C">
        <w:rPr>
          <w:b w:val="0"/>
          <w:sz w:val="20"/>
          <w:szCs w:val="20"/>
        </w:rPr>
        <w:t xml:space="preserve"> to reduce the flaw max and flatten the distribution </w:t>
      </w:r>
      <w:r w:rsidR="007D3729" w:rsidRPr="001E7A2C">
        <w:rPr>
          <w:b w:val="0"/>
          <w:sz w:val="20"/>
          <w:szCs w:val="20"/>
        </w:rPr>
        <w:t>would enable</w:t>
      </w:r>
      <w:r w:rsidR="00731D3B" w:rsidRPr="001E7A2C">
        <w:rPr>
          <w:b w:val="0"/>
          <w:sz w:val="20"/>
          <w:szCs w:val="20"/>
        </w:rPr>
        <w:t xml:space="preserve"> the new panel set </w:t>
      </w:r>
      <w:r w:rsidR="007D3729" w:rsidRPr="001E7A2C">
        <w:rPr>
          <w:b w:val="0"/>
          <w:sz w:val="20"/>
          <w:szCs w:val="20"/>
        </w:rPr>
        <w:t xml:space="preserve">to </w:t>
      </w:r>
      <w:r w:rsidR="00731D3B" w:rsidRPr="001E7A2C">
        <w:rPr>
          <w:b w:val="0"/>
          <w:sz w:val="20"/>
          <w:szCs w:val="20"/>
        </w:rPr>
        <w:t>better provide visibility into the threshold range of the POD curve.</w:t>
      </w:r>
      <w:r w:rsidR="004E1D4C" w:rsidRPr="001E7A2C">
        <w:rPr>
          <w:b w:val="0"/>
          <w:sz w:val="20"/>
          <w:szCs w:val="20"/>
        </w:rPr>
        <w:t xml:space="preserve"> </w:t>
      </w:r>
      <w:r w:rsidR="00290EDB" w:rsidRPr="001E7A2C">
        <w:rPr>
          <w:b w:val="0"/>
          <w:sz w:val="20"/>
          <w:szCs w:val="20"/>
        </w:rPr>
        <w:t xml:space="preserve">Inclusion of high points well beyond the range of </w:t>
      </w:r>
      <w:r w:rsidR="005842E2" w:rsidRPr="001E7A2C">
        <w:rPr>
          <w:b w:val="0"/>
          <w:sz w:val="20"/>
          <w:szCs w:val="20"/>
        </w:rPr>
        <w:t xml:space="preserve">interest was considered </w:t>
      </w:r>
      <w:r w:rsidR="00C619A8" w:rsidRPr="001E7A2C">
        <w:rPr>
          <w:b w:val="0"/>
          <w:sz w:val="20"/>
          <w:szCs w:val="20"/>
        </w:rPr>
        <w:t>inefficient</w:t>
      </w:r>
      <w:r w:rsidR="00290EDB" w:rsidRPr="001E7A2C">
        <w:rPr>
          <w:b w:val="0"/>
          <w:sz w:val="20"/>
          <w:szCs w:val="20"/>
        </w:rPr>
        <w:t xml:space="preserve">, so decreasing the max to a more reasonable crack length would allow </w:t>
      </w:r>
      <w:r w:rsidR="00C619A8" w:rsidRPr="001E7A2C">
        <w:rPr>
          <w:b w:val="0"/>
          <w:sz w:val="20"/>
          <w:szCs w:val="20"/>
        </w:rPr>
        <w:t xml:space="preserve">all </w:t>
      </w:r>
      <w:r w:rsidR="00290EDB" w:rsidRPr="001E7A2C">
        <w:rPr>
          <w:b w:val="0"/>
          <w:sz w:val="20"/>
          <w:szCs w:val="20"/>
        </w:rPr>
        <w:t xml:space="preserve">testing to be more value-added. </w:t>
      </w:r>
      <w:r w:rsidR="00372803" w:rsidRPr="001E7A2C">
        <w:rPr>
          <w:b w:val="0"/>
          <w:sz w:val="20"/>
          <w:szCs w:val="20"/>
        </w:rPr>
        <w:t>The</w:t>
      </w:r>
      <w:r w:rsidR="006C35C4" w:rsidRPr="001E7A2C">
        <w:rPr>
          <w:b w:val="0"/>
          <w:sz w:val="20"/>
          <w:szCs w:val="20"/>
        </w:rPr>
        <w:t xml:space="preserve"> team was</w:t>
      </w:r>
      <w:r w:rsidR="00372803" w:rsidRPr="001E7A2C">
        <w:rPr>
          <w:b w:val="0"/>
          <w:sz w:val="20"/>
          <w:szCs w:val="20"/>
        </w:rPr>
        <w:t xml:space="preserve"> also</w:t>
      </w:r>
      <w:r w:rsidR="006C35C4" w:rsidRPr="001E7A2C">
        <w:rPr>
          <w:b w:val="0"/>
          <w:sz w:val="20"/>
          <w:szCs w:val="20"/>
        </w:rPr>
        <w:t xml:space="preserve"> </w:t>
      </w:r>
      <w:r w:rsidRPr="001E7A2C">
        <w:rPr>
          <w:b w:val="0"/>
          <w:sz w:val="20"/>
          <w:szCs w:val="20"/>
        </w:rPr>
        <w:t>concerned about the different flaw type being easier to detec</w:t>
      </w:r>
      <w:r w:rsidR="00731D3B" w:rsidRPr="001E7A2C">
        <w:rPr>
          <w:b w:val="0"/>
          <w:sz w:val="20"/>
          <w:szCs w:val="20"/>
        </w:rPr>
        <w:t>t, so</w:t>
      </w:r>
      <w:r w:rsidR="006C35C4" w:rsidRPr="001E7A2C">
        <w:rPr>
          <w:b w:val="0"/>
          <w:sz w:val="20"/>
          <w:szCs w:val="20"/>
        </w:rPr>
        <w:t xml:space="preserve"> needed to allow for</w:t>
      </w:r>
      <w:r w:rsidR="00372803" w:rsidRPr="001E7A2C">
        <w:rPr>
          <w:b w:val="0"/>
          <w:sz w:val="20"/>
          <w:szCs w:val="20"/>
        </w:rPr>
        <w:t xml:space="preserve"> additional </w:t>
      </w:r>
      <w:r w:rsidR="006C35C4" w:rsidRPr="001E7A2C">
        <w:rPr>
          <w:b w:val="0"/>
          <w:sz w:val="20"/>
          <w:szCs w:val="20"/>
        </w:rPr>
        <w:t>smaller values</w:t>
      </w:r>
      <w:r w:rsidR="00372803" w:rsidRPr="001E7A2C">
        <w:rPr>
          <w:b w:val="0"/>
          <w:sz w:val="20"/>
          <w:szCs w:val="20"/>
        </w:rPr>
        <w:t xml:space="preserve"> since the magnitude of this effect was unknown</w:t>
      </w:r>
      <w:r w:rsidR="006C35C4" w:rsidRPr="001E7A2C">
        <w:rPr>
          <w:b w:val="0"/>
          <w:sz w:val="20"/>
          <w:szCs w:val="20"/>
        </w:rPr>
        <w:t>.</w:t>
      </w:r>
      <w:r w:rsidR="00372803" w:rsidRPr="001E7A2C">
        <w:rPr>
          <w:b w:val="0"/>
          <w:sz w:val="20"/>
          <w:szCs w:val="20"/>
        </w:rPr>
        <w:t xml:space="preserve"> </w:t>
      </w:r>
      <w:r w:rsidR="00731D3B" w:rsidRPr="001E7A2C">
        <w:rPr>
          <w:b w:val="0"/>
          <w:sz w:val="20"/>
          <w:szCs w:val="20"/>
        </w:rPr>
        <w:t>As a further complication</w:t>
      </w:r>
      <w:r w:rsidR="00372803" w:rsidRPr="001E7A2C">
        <w:rPr>
          <w:b w:val="0"/>
          <w:sz w:val="20"/>
          <w:szCs w:val="20"/>
        </w:rPr>
        <w:t>, the vendor requested that the team provide the targe</w:t>
      </w:r>
      <w:r w:rsidR="000612EB" w:rsidRPr="001E7A2C">
        <w:rPr>
          <w:b w:val="0"/>
          <w:sz w:val="20"/>
          <w:szCs w:val="20"/>
        </w:rPr>
        <w:t>t</w:t>
      </w:r>
      <w:r w:rsidR="00372803" w:rsidRPr="001E7A2C">
        <w:rPr>
          <w:b w:val="0"/>
          <w:sz w:val="20"/>
          <w:szCs w:val="20"/>
        </w:rPr>
        <w:t xml:space="preserve"> allocation in intervals, which they would attempt to approximate</w:t>
      </w:r>
      <w:r w:rsidR="00731D3B" w:rsidRPr="001E7A2C">
        <w:rPr>
          <w:b w:val="0"/>
          <w:sz w:val="20"/>
          <w:szCs w:val="20"/>
        </w:rPr>
        <w:t>, due to uncertainties in the flaw manufacturing process</w:t>
      </w:r>
      <w:r w:rsidR="00372803" w:rsidRPr="001E7A2C">
        <w:rPr>
          <w:b w:val="0"/>
          <w:sz w:val="20"/>
          <w:szCs w:val="20"/>
        </w:rPr>
        <w:t xml:space="preserve">. </w:t>
      </w:r>
      <w:r w:rsidR="000612EB" w:rsidRPr="001E7A2C">
        <w:rPr>
          <w:b w:val="0"/>
          <w:sz w:val="20"/>
          <w:szCs w:val="20"/>
        </w:rPr>
        <w:t>As a result of this limitation, the panel set could not be fully optimized with respect to specific quantitative targets, but had to be defined in a way that would be robust to various stakeholder needs.</w:t>
      </w:r>
    </w:p>
    <w:p w14:paraId="57CE2D4D" w14:textId="7A4F02A1" w:rsidR="00D27CFF" w:rsidRPr="001E7A2C" w:rsidRDefault="00D27CFF" w:rsidP="00A513B0">
      <w:pPr>
        <w:pStyle w:val="SUBHEAD1PAPERSUMMARY"/>
        <w:rPr>
          <w:b w:val="0"/>
          <w:sz w:val="20"/>
          <w:szCs w:val="20"/>
        </w:rPr>
      </w:pPr>
    </w:p>
    <w:p w14:paraId="0881A25B" w14:textId="4B85ACD2" w:rsidR="00372803" w:rsidRPr="001E7A2C" w:rsidRDefault="00372803" w:rsidP="00372803">
      <w:pPr>
        <w:pStyle w:val="SUBHEAD1PAPERSUMMARY"/>
      </w:pPr>
      <w:r w:rsidRPr="001E7A2C">
        <w:t>FLAW ALLOCATION METHODOLOGY</w:t>
      </w:r>
    </w:p>
    <w:p w14:paraId="7F73C8CE" w14:textId="5AFCBB6A" w:rsidR="00372803" w:rsidRPr="001E7A2C" w:rsidRDefault="00B60065" w:rsidP="00A513B0">
      <w:pPr>
        <w:pStyle w:val="SUBHEAD1PAPERSUMMARY"/>
        <w:rPr>
          <w:b w:val="0"/>
          <w:sz w:val="20"/>
          <w:szCs w:val="20"/>
        </w:rPr>
      </w:pPr>
      <w:r w:rsidRPr="001E7A2C">
        <w:rPr>
          <w:b w:val="0"/>
          <w:sz w:val="20"/>
          <w:szCs w:val="20"/>
        </w:rPr>
        <w:t>Available guidance suggested flaws be distributed uniformly on either log or Cartesian scale</w:t>
      </w:r>
      <w:r w:rsidR="00C619A8" w:rsidRPr="001E7A2C">
        <w:rPr>
          <w:b w:val="0"/>
          <w:sz w:val="20"/>
          <w:szCs w:val="20"/>
        </w:rPr>
        <w:t xml:space="preserve"> [</w:t>
      </w:r>
      <w:r w:rsidR="00342336" w:rsidRPr="001E7A2C">
        <w:rPr>
          <w:b w:val="0"/>
          <w:sz w:val="20"/>
          <w:szCs w:val="20"/>
        </w:rPr>
        <w:t>5</w:t>
      </w:r>
      <w:r w:rsidR="00C619A8" w:rsidRPr="001E7A2C">
        <w:rPr>
          <w:b w:val="0"/>
          <w:sz w:val="20"/>
          <w:szCs w:val="20"/>
        </w:rPr>
        <w:t>]</w:t>
      </w:r>
      <w:r w:rsidRPr="001E7A2C">
        <w:rPr>
          <w:b w:val="0"/>
          <w:sz w:val="20"/>
          <w:szCs w:val="20"/>
        </w:rPr>
        <w:t>. AR RS-25 standard practice has been to use log scale in POD analyses, to account for the measurement being bounded at zero (</w:t>
      </w:r>
      <w:r w:rsidR="00731D3B" w:rsidRPr="001E7A2C">
        <w:rPr>
          <w:b w:val="0"/>
          <w:sz w:val="20"/>
          <w:szCs w:val="20"/>
        </w:rPr>
        <w:t xml:space="preserve">since </w:t>
      </w:r>
      <w:r w:rsidRPr="001E7A2C">
        <w:rPr>
          <w:b w:val="0"/>
          <w:sz w:val="20"/>
          <w:szCs w:val="20"/>
        </w:rPr>
        <w:t xml:space="preserve">crack sizes must be positive). </w:t>
      </w:r>
      <w:r w:rsidR="00290EDB" w:rsidRPr="001E7A2C">
        <w:rPr>
          <w:b w:val="0"/>
          <w:sz w:val="20"/>
          <w:szCs w:val="20"/>
        </w:rPr>
        <w:t xml:space="preserve">No guidance was available on choice of </w:t>
      </w:r>
      <w:r w:rsidR="005842E2" w:rsidRPr="001E7A2C">
        <w:rPr>
          <w:b w:val="0"/>
          <w:sz w:val="20"/>
          <w:szCs w:val="20"/>
        </w:rPr>
        <w:t xml:space="preserve">the </w:t>
      </w:r>
      <w:r w:rsidR="00290EDB" w:rsidRPr="001E7A2C">
        <w:rPr>
          <w:b w:val="0"/>
          <w:sz w:val="20"/>
          <w:szCs w:val="20"/>
        </w:rPr>
        <w:t>max,</w:t>
      </w:r>
      <w:r w:rsidR="005842E2" w:rsidRPr="001E7A2C">
        <w:rPr>
          <w:b w:val="0"/>
          <w:sz w:val="20"/>
          <w:szCs w:val="20"/>
        </w:rPr>
        <w:t xml:space="preserve"> the upper bound,</w:t>
      </w:r>
      <w:r w:rsidR="00290EDB" w:rsidRPr="001E7A2C">
        <w:rPr>
          <w:b w:val="0"/>
          <w:sz w:val="20"/>
          <w:szCs w:val="20"/>
        </w:rPr>
        <w:t xml:space="preserve"> but inclusion of high points beyond the range of interest is not needed to mathematically anchor the model in any way</w:t>
      </w:r>
      <w:r w:rsidR="005842E2" w:rsidRPr="001E7A2C">
        <w:rPr>
          <w:b w:val="0"/>
          <w:sz w:val="20"/>
          <w:szCs w:val="20"/>
        </w:rPr>
        <w:t xml:space="preserve">. </w:t>
      </w:r>
      <w:r w:rsidR="00731D3B" w:rsidRPr="001E7A2C">
        <w:rPr>
          <w:b w:val="0"/>
          <w:sz w:val="20"/>
          <w:szCs w:val="20"/>
        </w:rPr>
        <w:t>The team was uncomfortable with the recommendation</w:t>
      </w:r>
      <w:r w:rsidR="00290EDB" w:rsidRPr="001E7A2C">
        <w:rPr>
          <w:b w:val="0"/>
          <w:sz w:val="20"/>
          <w:szCs w:val="20"/>
        </w:rPr>
        <w:t xml:space="preserve"> of cracks being uniformly distributed, on either scale, and preferred to allow for some tapering on both sides of the flaw size range</w:t>
      </w:r>
      <w:r w:rsidR="00FE0CC4" w:rsidRPr="001E7A2C">
        <w:rPr>
          <w:b w:val="0"/>
          <w:sz w:val="20"/>
          <w:szCs w:val="20"/>
        </w:rPr>
        <w:t xml:space="preserve">. </w:t>
      </w:r>
      <w:r w:rsidR="00290EDB" w:rsidRPr="001E7A2C">
        <w:rPr>
          <w:b w:val="0"/>
          <w:sz w:val="20"/>
          <w:szCs w:val="20"/>
        </w:rPr>
        <w:t xml:space="preserve">The statistical Beta distribution </w:t>
      </w:r>
      <w:r w:rsidR="00C619A8" w:rsidRPr="001E7A2C">
        <w:rPr>
          <w:b w:val="0"/>
          <w:sz w:val="20"/>
          <w:szCs w:val="20"/>
        </w:rPr>
        <w:t>[</w:t>
      </w:r>
      <w:r w:rsidR="00342336" w:rsidRPr="001E7A2C">
        <w:rPr>
          <w:b w:val="0"/>
          <w:sz w:val="20"/>
          <w:szCs w:val="20"/>
        </w:rPr>
        <w:t>7</w:t>
      </w:r>
      <w:r w:rsidR="0011734D" w:rsidRPr="001E7A2C">
        <w:rPr>
          <w:b w:val="0"/>
          <w:sz w:val="20"/>
          <w:szCs w:val="20"/>
        </w:rPr>
        <w:t>, 8</w:t>
      </w:r>
      <w:r w:rsidR="00C619A8" w:rsidRPr="001E7A2C">
        <w:rPr>
          <w:b w:val="0"/>
          <w:sz w:val="20"/>
          <w:szCs w:val="20"/>
        </w:rPr>
        <w:t xml:space="preserve">] </w:t>
      </w:r>
      <w:r w:rsidR="00290EDB" w:rsidRPr="001E7A2C">
        <w:rPr>
          <w:b w:val="0"/>
          <w:sz w:val="20"/>
          <w:szCs w:val="20"/>
        </w:rPr>
        <w:t xml:space="preserve">was </w:t>
      </w:r>
      <w:r w:rsidR="00FE0CC4" w:rsidRPr="001E7A2C">
        <w:rPr>
          <w:b w:val="0"/>
          <w:sz w:val="20"/>
          <w:szCs w:val="20"/>
        </w:rPr>
        <w:t xml:space="preserve">used </w:t>
      </w:r>
      <w:r w:rsidR="00B52D39" w:rsidRPr="001E7A2C">
        <w:rPr>
          <w:b w:val="0"/>
          <w:sz w:val="20"/>
          <w:szCs w:val="20"/>
        </w:rPr>
        <w:t>for</w:t>
      </w:r>
      <w:r w:rsidR="00FE0CC4" w:rsidRPr="001E7A2C">
        <w:rPr>
          <w:b w:val="0"/>
          <w:sz w:val="20"/>
          <w:szCs w:val="20"/>
        </w:rPr>
        <w:t xml:space="preserve"> comparisons, since it has the flexibility to accommodate a ran</w:t>
      </w:r>
      <w:r w:rsidR="00C619A8" w:rsidRPr="001E7A2C">
        <w:rPr>
          <w:b w:val="0"/>
          <w:sz w:val="20"/>
          <w:szCs w:val="20"/>
        </w:rPr>
        <w:t xml:space="preserve">ge of shapes between two </w:t>
      </w:r>
      <w:r w:rsidR="00B52D39" w:rsidRPr="001E7A2C">
        <w:rPr>
          <w:b w:val="0"/>
          <w:sz w:val="20"/>
          <w:szCs w:val="20"/>
        </w:rPr>
        <w:t>bounds</w:t>
      </w:r>
      <w:r w:rsidR="00C619A8" w:rsidRPr="001E7A2C">
        <w:rPr>
          <w:b w:val="0"/>
          <w:sz w:val="20"/>
          <w:szCs w:val="20"/>
        </w:rPr>
        <w:t>, and includes the</w:t>
      </w:r>
      <w:r w:rsidR="00342336" w:rsidRPr="001E7A2C">
        <w:rPr>
          <w:b w:val="0"/>
          <w:sz w:val="20"/>
          <w:szCs w:val="20"/>
        </w:rPr>
        <w:t xml:space="preserve"> baseline</w:t>
      </w:r>
      <w:r w:rsidR="00C619A8" w:rsidRPr="001E7A2C">
        <w:rPr>
          <w:b w:val="0"/>
          <w:sz w:val="20"/>
          <w:szCs w:val="20"/>
        </w:rPr>
        <w:t xml:space="preserve"> Uniform distribution as a special case</w:t>
      </w:r>
      <w:r w:rsidR="00433BCD" w:rsidRPr="001E7A2C">
        <w:rPr>
          <w:b w:val="0"/>
          <w:sz w:val="20"/>
          <w:szCs w:val="20"/>
        </w:rPr>
        <w:t>, which has constant probability between two bounds.</w:t>
      </w:r>
    </w:p>
    <w:p w14:paraId="630591B2" w14:textId="4D875BE5" w:rsidR="00C619A8" w:rsidRPr="001E7A2C" w:rsidRDefault="00C619A8" w:rsidP="00C619A8">
      <w:pPr>
        <w:pStyle w:val="SUBHEAD1PAPERSUMMARY"/>
        <w:rPr>
          <w:b w:val="0"/>
          <w:sz w:val="20"/>
          <w:szCs w:val="20"/>
        </w:rPr>
      </w:pPr>
    </w:p>
    <w:p w14:paraId="1DD48BC8" w14:textId="38CB613C" w:rsidR="000D3751" w:rsidRPr="00C619A8" w:rsidRDefault="001E3611" w:rsidP="00C619A8">
      <w:pPr>
        <w:pStyle w:val="BODYTEXTPAPERSUMMARY"/>
        <w:rPr>
          <w:b/>
          <w:color w:val="000000" w:themeColor="text1"/>
        </w:rPr>
      </w:pPr>
      <w:r w:rsidRPr="00C619A8">
        <w:rPr>
          <w:b/>
          <w:color w:val="000000" w:themeColor="text1"/>
        </w:rPr>
        <w:t xml:space="preserve">Beta </w:t>
      </w:r>
      <w:r w:rsidR="00C619A8">
        <w:rPr>
          <w:b/>
          <w:color w:val="000000" w:themeColor="text1"/>
        </w:rPr>
        <w:t>D</w:t>
      </w:r>
      <w:r w:rsidRPr="00C619A8">
        <w:rPr>
          <w:b/>
          <w:color w:val="000000" w:themeColor="text1"/>
        </w:rPr>
        <w:t>istribution</w:t>
      </w:r>
      <w:r w:rsidR="000D3751" w:rsidRPr="00C619A8">
        <w:rPr>
          <w:b/>
          <w:color w:val="000000" w:themeColor="text1"/>
        </w:rPr>
        <w:t xml:space="preserve"> </w:t>
      </w:r>
    </w:p>
    <w:p w14:paraId="14747F94" w14:textId="2CAECA38" w:rsidR="000D3751" w:rsidRDefault="0011734D" w:rsidP="00A513B0">
      <w:pPr>
        <w:pStyle w:val="SUBHEAD1PAPERSUMMARY"/>
        <w:rPr>
          <w:b w:val="0"/>
          <w:sz w:val="20"/>
          <w:szCs w:val="20"/>
        </w:rPr>
      </w:pPr>
      <w:r>
        <w:rPr>
          <w:b w:val="0"/>
          <w:sz w:val="20"/>
          <w:szCs w:val="20"/>
        </w:rPr>
        <w:t xml:space="preserve">A generalized version of the Beta probability distribution function (PDF) is shown </w:t>
      </w:r>
      <w:r w:rsidR="005D5A5B">
        <w:rPr>
          <w:b w:val="0"/>
          <w:sz w:val="20"/>
          <w:szCs w:val="20"/>
        </w:rPr>
        <w:t>in Equation 1</w:t>
      </w:r>
      <w:r w:rsidR="008C7E91">
        <w:rPr>
          <w:b w:val="0"/>
          <w:sz w:val="20"/>
          <w:szCs w:val="20"/>
        </w:rPr>
        <w:t>, on Cartesian scale</w:t>
      </w:r>
      <w:r>
        <w:rPr>
          <w:b w:val="0"/>
          <w:sz w:val="20"/>
          <w:szCs w:val="20"/>
        </w:rPr>
        <w:t>.</w:t>
      </w:r>
      <w:r w:rsidR="008C7E91">
        <w:rPr>
          <w:b w:val="0"/>
          <w:sz w:val="20"/>
          <w:szCs w:val="20"/>
        </w:rPr>
        <w:t xml:space="preserve"> </w:t>
      </w:r>
    </w:p>
    <w:p w14:paraId="7EB100E2" w14:textId="77777777" w:rsidR="0011734D" w:rsidRDefault="0011734D" w:rsidP="00A513B0">
      <w:pPr>
        <w:pStyle w:val="SUBHEAD1PAPERSUMMARY"/>
        <w:rPr>
          <w:b w:val="0"/>
          <w:sz w:val="20"/>
          <w:szCs w:val="20"/>
        </w:rPr>
      </w:pPr>
    </w:p>
    <w:p w14:paraId="081A9864" w14:textId="2218EACF" w:rsidR="0011734D" w:rsidRDefault="005D5A5B" w:rsidP="0011734D">
      <w:pPr>
        <w:pStyle w:val="BODYTEXTPAPERSUMMARY"/>
        <w:tabs>
          <w:tab w:val="right" w:pos="9360"/>
        </w:tabs>
        <w:rPr>
          <w:b/>
        </w:rPr>
      </w:pPr>
      <m:oMath>
        <m:r>
          <w:rPr>
            <w:rFonts w:ascii="Cambria Math" w:hAnsi="Cambria Math"/>
            <w:sz w:val="24"/>
          </w:rPr>
          <m:t>f</m:t>
        </m:r>
        <m:d>
          <m:dPr>
            <m:ctrlPr>
              <w:rPr>
                <w:rFonts w:ascii="Cambria Math" w:hAnsi="Cambria Math"/>
                <w:b/>
                <w:i/>
                <w:sz w:val="24"/>
              </w:rPr>
            </m:ctrlPr>
          </m:dPr>
          <m:e>
            <m:r>
              <w:rPr>
                <w:rFonts w:ascii="Cambria Math" w:hAnsi="Cambria Math"/>
                <w:sz w:val="24"/>
              </w:rPr>
              <m:t xml:space="preserve">x|α,β, </m:t>
            </m:r>
            <m:sSub>
              <m:sSubPr>
                <m:ctrlPr>
                  <w:rPr>
                    <w:rFonts w:ascii="Cambria Math" w:hAnsi="Cambria Math"/>
                    <w:i/>
                    <w:sz w:val="24"/>
                  </w:rPr>
                </m:ctrlPr>
              </m:sSubPr>
              <m:e>
                <m:r>
                  <w:rPr>
                    <w:rFonts w:ascii="Cambria Math" w:hAnsi="Cambria Math"/>
                    <w:sz w:val="24"/>
                  </w:rPr>
                  <m:t>x</m:t>
                </m:r>
              </m:e>
              <m:sub>
                <m:r>
                  <w:rPr>
                    <w:rFonts w:ascii="Cambria Math" w:hAnsi="Cambria Math"/>
                    <w:sz w:val="24"/>
                  </w:rPr>
                  <m:t>min</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max</m:t>
                </m:r>
              </m:sub>
            </m:sSub>
          </m:e>
        </m:d>
        <m:r>
          <m:rPr>
            <m:sty m:val="bi"/>
          </m:rP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B</m:t>
            </m:r>
            <m:d>
              <m:dPr>
                <m:ctrlPr>
                  <w:rPr>
                    <w:rFonts w:ascii="Cambria Math" w:hAnsi="Cambria Math"/>
                    <w:i/>
                    <w:sz w:val="24"/>
                  </w:rPr>
                </m:ctrlPr>
              </m:dPr>
              <m:e>
                <m:r>
                  <w:rPr>
                    <w:rFonts w:ascii="Cambria Math" w:hAnsi="Cambria Math"/>
                    <w:sz w:val="24"/>
                  </w:rPr>
                  <m:t>α,β</m:t>
                </m:r>
              </m:e>
            </m:d>
          </m:den>
        </m:f>
        <m:r>
          <w:rPr>
            <w:rFonts w:ascii="Cambria Math" w:hAnsi="Cambria Math"/>
            <w:sz w:val="24"/>
          </w:rPr>
          <m:t>∙</m:t>
        </m:r>
        <m:f>
          <m:fPr>
            <m:ctrlPr>
              <w:rPr>
                <w:rFonts w:ascii="Cambria Math" w:hAnsi="Cambria Math"/>
                <w:i/>
                <w:sz w:val="24"/>
              </w:rPr>
            </m:ctrlPr>
          </m:fPr>
          <m:num>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x-</m:t>
                    </m:r>
                    <m:sSub>
                      <m:sSubPr>
                        <m:ctrlPr>
                          <w:rPr>
                            <w:rFonts w:ascii="Cambria Math" w:hAnsi="Cambria Math"/>
                            <w:i/>
                            <w:sz w:val="24"/>
                          </w:rPr>
                        </m:ctrlPr>
                      </m:sSubPr>
                      <m:e>
                        <m:r>
                          <w:rPr>
                            <w:rFonts w:ascii="Cambria Math" w:hAnsi="Cambria Math"/>
                            <w:sz w:val="24"/>
                          </w:rPr>
                          <m:t>x</m:t>
                        </m:r>
                      </m:e>
                      <m:sub>
                        <m:r>
                          <w:rPr>
                            <w:rFonts w:ascii="Cambria Math" w:hAnsi="Cambria Math"/>
                            <w:sz w:val="24"/>
                          </w:rPr>
                          <m:t>min</m:t>
                        </m:r>
                      </m:sub>
                    </m:sSub>
                  </m:e>
                </m:d>
              </m:e>
              <m:sup>
                <m:r>
                  <w:rPr>
                    <w:rFonts w:ascii="Cambria Math" w:hAnsi="Cambria Math"/>
                    <w:sz w:val="24"/>
                  </w:rPr>
                  <m:t>α-1</m:t>
                </m:r>
              </m:sup>
            </m:sSup>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max</m:t>
                        </m:r>
                      </m:sub>
                    </m:sSub>
                    <m:r>
                      <w:rPr>
                        <w:rFonts w:ascii="Cambria Math" w:hAnsi="Cambria Math"/>
                        <w:sz w:val="24"/>
                      </w:rPr>
                      <m:t>-x</m:t>
                    </m:r>
                  </m:e>
                </m:d>
              </m:e>
              <m:sup>
                <m:r>
                  <w:rPr>
                    <w:rFonts w:ascii="Cambria Math" w:hAnsi="Cambria Math"/>
                    <w:sz w:val="24"/>
                  </w:rPr>
                  <m:t>β-1</m:t>
                </m:r>
              </m:sup>
            </m:sSup>
          </m:num>
          <m:den>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max</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min</m:t>
                        </m:r>
                      </m:sub>
                    </m:sSub>
                  </m:e>
                </m:d>
              </m:e>
              <m:sup>
                <m:r>
                  <w:rPr>
                    <w:rFonts w:ascii="Cambria Math" w:hAnsi="Cambria Math"/>
                    <w:sz w:val="24"/>
                  </w:rPr>
                  <m:t>α+β-1</m:t>
                </m:r>
              </m:sup>
            </m:sSup>
          </m:den>
        </m:f>
      </m:oMath>
      <w:r w:rsidR="0011734D">
        <w:rPr>
          <w:b/>
          <w:position w:val="-30"/>
        </w:rPr>
        <w:tab/>
      </w:r>
      <w:r w:rsidR="0011734D">
        <w:rPr>
          <w:b/>
        </w:rPr>
        <w:t xml:space="preserve">(Eq. 1) </w:t>
      </w:r>
    </w:p>
    <w:p w14:paraId="7F54EA93" w14:textId="77777777" w:rsidR="0011734D" w:rsidRDefault="0011734D" w:rsidP="0011734D">
      <w:pPr>
        <w:pStyle w:val="BODYTEXTPAPERSUMMARY"/>
        <w:rPr>
          <w:b/>
        </w:rPr>
      </w:pPr>
    </w:p>
    <w:p w14:paraId="77B7F6B8" w14:textId="1D20DE99" w:rsidR="0011734D" w:rsidRDefault="0011734D" w:rsidP="0011734D">
      <w:pPr>
        <w:pStyle w:val="BODYTEXTPAPERSUMMARY"/>
      </w:pPr>
      <w:proofErr w:type="gramStart"/>
      <w:r>
        <w:t>where</w:t>
      </w:r>
      <w:proofErr w:type="gramEnd"/>
      <w:r w:rsidR="00602F20">
        <w:t xml:space="preserve"> </w:t>
      </w:r>
    </w:p>
    <w:p w14:paraId="6780F1A5" w14:textId="6D01410D" w:rsidR="0011734D" w:rsidRDefault="0011734D" w:rsidP="0011734D">
      <w:pPr>
        <w:pStyle w:val="BODYTEXTPAPERSUMMARY"/>
      </w:pPr>
      <m:oMath>
        <m:r>
          <w:rPr>
            <w:rFonts w:ascii="Cambria Math" w:hAnsi="Cambria Math"/>
          </w:rPr>
          <m:t>α</m:t>
        </m:r>
      </m:oMath>
      <w:r>
        <w:t xml:space="preserve"> </w:t>
      </w:r>
      <w:r w:rsidR="00453E44">
        <w:t xml:space="preserve">= </w:t>
      </w:r>
      <w:r w:rsidR="005D5A5B">
        <w:t>shape parameter</w:t>
      </w:r>
      <w:r w:rsidR="00453E44">
        <w:t xml:space="preserve"> (</w:t>
      </w:r>
      <m:oMath>
        <m:r>
          <w:rPr>
            <w:rFonts w:ascii="Cambria Math" w:hAnsi="Cambria Math"/>
          </w:rPr>
          <m:t>α&gt;0</m:t>
        </m:r>
      </m:oMath>
      <w:r w:rsidR="00453E44">
        <w:t>)</w:t>
      </w:r>
      <w:r>
        <w:t>,</w:t>
      </w:r>
    </w:p>
    <w:p w14:paraId="46743430" w14:textId="430CFB17" w:rsidR="005D5A5B" w:rsidRDefault="0011734D" w:rsidP="0011734D">
      <w:pPr>
        <w:pStyle w:val="BODYTEXTPAPERSUMMARY"/>
      </w:pPr>
      <m:oMath>
        <m:r>
          <w:rPr>
            <w:rFonts w:ascii="Cambria Math" w:hAnsi="Cambria Math"/>
          </w:rPr>
          <m:t>β</m:t>
        </m:r>
      </m:oMath>
      <w:r>
        <w:t xml:space="preserve"> </w:t>
      </w:r>
      <w:r w:rsidR="00453E44">
        <w:t xml:space="preserve">= </w:t>
      </w:r>
      <w:r w:rsidR="005D5A5B">
        <w:t>scale parameter</w:t>
      </w:r>
      <w:r w:rsidR="00453E44">
        <w:t xml:space="preserve"> (</w:t>
      </w:r>
      <m:oMath>
        <m:r>
          <w:rPr>
            <w:rFonts w:ascii="Cambria Math" w:hAnsi="Cambria Math"/>
          </w:rPr>
          <m:t>β&gt;0</m:t>
        </m:r>
      </m:oMath>
      <w:r w:rsidR="00453E44">
        <w:t>),</w:t>
      </w:r>
      <w:r w:rsidR="005D5A5B">
        <w:t xml:space="preserve"> </w:t>
      </w:r>
    </w:p>
    <w:p w14:paraId="540A6EDF" w14:textId="27B70881" w:rsidR="00453E44" w:rsidRDefault="005D5A5B" w:rsidP="0011734D">
      <w:pPr>
        <w:pStyle w:val="BODYTEXTPAPERSUMMARY"/>
      </w:pPr>
      <m:oMath>
        <m:r>
          <w:rPr>
            <w:rFonts w:ascii="Cambria Math" w:hAnsi="Cambria Math"/>
          </w:rPr>
          <m:t>x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max</m:t>
                </m:r>
              </m:sub>
            </m:sSub>
          </m:e>
        </m:d>
      </m:oMath>
      <w:r w:rsidR="00453E44">
        <w:t xml:space="preserve">, </w:t>
      </w:r>
    </w:p>
    <w:p w14:paraId="67376A4E" w14:textId="68944AE0" w:rsidR="00453E44" w:rsidRDefault="00453E44" w:rsidP="0011734D">
      <w:pPr>
        <w:pStyle w:val="BODYTEXTPAPERSUMMARY"/>
      </w:pPr>
      <m:oMath>
        <m:r>
          <w:rPr>
            <w:rFonts w:ascii="Cambria Math" w:hAnsi="Cambria Math"/>
          </w:rPr>
          <w:lastRenderedPageBreak/>
          <m:t>B</m:t>
        </m:r>
        <m:d>
          <m:dPr>
            <m:ctrlPr>
              <w:rPr>
                <w:rFonts w:ascii="Cambria Math" w:hAnsi="Cambria Math"/>
                <w:i/>
              </w:rPr>
            </m:ctrlPr>
          </m:dPr>
          <m:e>
            <m:r>
              <w:rPr>
                <w:rFonts w:ascii="Cambria Math" w:hAnsi="Cambria Math"/>
              </w:rPr>
              <m:t>α,β</m:t>
            </m:r>
          </m:e>
        </m:d>
        <m:r>
          <w:rPr>
            <w:rFonts w:ascii="Cambria Math" w:hAnsi="Cambria Math"/>
          </w:rPr>
          <m:t xml:space="preserve">= </m:t>
        </m:r>
        <m:box>
          <m:boxPr>
            <m:ctrlPr>
              <w:rPr>
                <w:rFonts w:ascii="Cambria Math" w:hAnsi="Cambria Math"/>
                <w:i/>
              </w:rPr>
            </m:ctrlPr>
          </m:boxPr>
          <m:e>
            <m:argPr>
              <m:argSz m:val="-1"/>
            </m:argPr>
            <m:f>
              <m:fPr>
                <m:ctrlPr>
                  <w:rPr>
                    <w:rFonts w:ascii="Cambria Math" w:hAnsi="Cambria Math"/>
                    <w:i/>
                  </w:rPr>
                </m:ctrlPr>
              </m:fPr>
              <m:num>
                <m:r>
                  <m:rPr>
                    <m:sty m:val="p"/>
                  </m:rPr>
                  <w:rPr>
                    <w:rFonts w:ascii="Cambria Math" w:hAnsi="Cambria Math"/>
                  </w:rPr>
                  <m:t>Γ</m:t>
                </m:r>
                <m:d>
                  <m:dPr>
                    <m:ctrlPr>
                      <w:rPr>
                        <w:rFonts w:ascii="Cambria Math" w:hAnsi="Cambria Math"/>
                        <w:i/>
                      </w:rPr>
                    </m:ctrlPr>
                  </m:dPr>
                  <m:e>
                    <m:r>
                      <w:rPr>
                        <w:rFonts w:ascii="Cambria Math" w:hAnsi="Cambria Math"/>
                      </w:rPr>
                      <m:t>α</m:t>
                    </m:r>
                  </m:e>
                </m:d>
                <m:r>
                  <w:rPr>
                    <w:rFonts w:ascii="Cambria Math" w:hAnsi="Cambria Math"/>
                  </w:rPr>
                  <m:t>∙</m:t>
                </m:r>
                <m:r>
                  <m:rPr>
                    <m:sty m:val="p"/>
                  </m:rPr>
                  <w:rPr>
                    <w:rFonts w:ascii="Cambria Math" w:hAnsi="Cambria Math"/>
                  </w:rPr>
                  <m:t>Γ</m:t>
                </m:r>
                <m:d>
                  <m:dPr>
                    <m:ctrlPr>
                      <w:rPr>
                        <w:rFonts w:ascii="Cambria Math" w:hAnsi="Cambria Math"/>
                        <w:i/>
                      </w:rPr>
                    </m:ctrlPr>
                  </m:dPr>
                  <m:e>
                    <m:r>
                      <w:rPr>
                        <w:rFonts w:ascii="Cambria Math" w:hAnsi="Cambria Math"/>
                      </w:rPr>
                      <m:t>β</m:t>
                    </m:r>
                  </m:e>
                </m:d>
              </m:num>
              <m:den>
                <m:r>
                  <m:rPr>
                    <m:sty m:val="p"/>
                  </m:rPr>
                  <w:rPr>
                    <w:rFonts w:ascii="Cambria Math" w:hAnsi="Cambria Math"/>
                  </w:rPr>
                  <m:t>Γ</m:t>
                </m:r>
                <m:d>
                  <m:dPr>
                    <m:ctrlPr>
                      <w:rPr>
                        <w:rFonts w:ascii="Cambria Math" w:hAnsi="Cambria Math"/>
                        <w:i/>
                      </w:rPr>
                    </m:ctrlPr>
                  </m:dPr>
                  <m:e>
                    <m:r>
                      <w:rPr>
                        <w:rFonts w:ascii="Cambria Math" w:hAnsi="Cambria Math"/>
                      </w:rPr>
                      <m:t>α+β</m:t>
                    </m:r>
                  </m:e>
                </m:d>
              </m:den>
            </m:f>
          </m:e>
        </m:box>
        <m:r>
          <w:rPr>
            <w:rFonts w:ascii="Cambria Math" w:hAnsi="Cambria Math"/>
          </w:rPr>
          <m:t xml:space="preserve"> (</m:t>
        </m:r>
        <m:r>
          <m:rPr>
            <m:sty m:val="p"/>
          </m:rPr>
          <w:rPr>
            <w:rFonts w:ascii="Cambria Math" w:hAnsi="Cambria Math"/>
          </w:rPr>
          <m:t>Beta function</m:t>
        </m:r>
        <m:r>
          <w:rPr>
            <w:rFonts w:ascii="Cambria Math" w:hAnsi="Cambria Math"/>
          </w:rPr>
          <m:t>)</m:t>
        </m:r>
      </m:oMath>
      <w:r>
        <w:t xml:space="preserve">, and </w:t>
      </w:r>
    </w:p>
    <w:p w14:paraId="5231DA4A" w14:textId="34996A15" w:rsidR="0011734D" w:rsidRDefault="00453E44" w:rsidP="0011734D">
      <w:pPr>
        <w:pStyle w:val="BODYTEXTPAPERSUMMARY"/>
      </w:pPr>
      <w:r>
        <w:t xml:space="preserve"> </w:t>
      </w:r>
      <m:oMath>
        <m:r>
          <m:rPr>
            <m:sty m:val="p"/>
          </m:rPr>
          <w:rPr>
            <w:rFonts w:ascii="Cambria Math" w:hAnsi="Cambria Math"/>
          </w:rPr>
          <m:t>Γ</m:t>
        </m:r>
        <m:d>
          <m:dPr>
            <m:ctrlPr>
              <w:rPr>
                <w:rFonts w:ascii="Cambria Math" w:hAnsi="Cambria Math"/>
                <w:i/>
              </w:rPr>
            </m:ctrlPr>
          </m:dPr>
          <m:e>
            <m:r>
              <w:rPr>
                <w:rFonts w:ascii="Cambria Math" w:hAnsi="Cambria Math"/>
              </w:rPr>
              <m:t>z</m:t>
            </m:r>
          </m:e>
        </m:d>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t</m:t>
                </m:r>
              </m:e>
              <m:sup>
                <m:r>
                  <w:rPr>
                    <w:rFonts w:ascii="Cambria Math" w:hAnsi="Cambria Math"/>
                  </w:rPr>
                  <m:t>z-1</m:t>
                </m:r>
              </m:sup>
            </m:sSup>
            <m:r>
              <w:rPr>
                <w:rFonts w:ascii="Cambria Math" w:hAnsi="Cambria Math"/>
              </w:rPr>
              <m:t>∙</m:t>
            </m:r>
            <m:func>
              <m:funcPr>
                <m:ctrlPr>
                  <w:rPr>
                    <w:rFonts w:ascii="Cambria Math" w:hAnsi="Cambria Math"/>
                  </w:rPr>
                </m:ctrlPr>
              </m:funcPr>
              <m:fName>
                <m:r>
                  <m:rPr>
                    <m:sty m:val="p"/>
                  </m:rPr>
                  <w:rPr>
                    <w:rFonts w:ascii="Cambria Math" w:hAnsi="Cambria Math"/>
                  </w:rPr>
                  <m:t>exp</m:t>
                </m:r>
                <m:ctrlPr>
                  <w:rPr>
                    <w:rFonts w:ascii="Cambria Math" w:hAnsi="Cambria Math"/>
                    <w:i/>
                  </w:rPr>
                </m:ctrlPr>
              </m:fName>
              <m:e>
                <m:d>
                  <m:dPr>
                    <m:begChr m:val="{"/>
                    <m:endChr m:val="}"/>
                    <m:ctrlPr>
                      <w:rPr>
                        <w:rFonts w:ascii="Cambria Math" w:hAnsi="Cambria Math"/>
                        <w:i/>
                      </w:rPr>
                    </m:ctrlPr>
                  </m:dPr>
                  <m:e>
                    <m:r>
                      <w:rPr>
                        <w:rFonts w:ascii="Cambria Math" w:hAnsi="Cambria Math"/>
                      </w:rPr>
                      <m:t>-t</m:t>
                    </m:r>
                  </m:e>
                </m:d>
              </m:e>
            </m:func>
            <m:r>
              <w:rPr>
                <w:rFonts w:ascii="Cambria Math" w:hAnsi="Cambria Math"/>
              </w:rPr>
              <m:t>dt</m:t>
            </m:r>
          </m:e>
        </m:nary>
        <m:r>
          <w:rPr>
            <w:rFonts w:ascii="Cambria Math" w:hAnsi="Cambria Math"/>
          </w:rPr>
          <m:t xml:space="preserve"> </m:t>
        </m:r>
      </m:oMath>
      <w:r>
        <w:t xml:space="preserve"> , for z real &gt;0 (Gamma function)</w:t>
      </w:r>
      <w:r w:rsidR="0011734D">
        <w:t>.</w:t>
      </w:r>
      <w:r w:rsidR="002C30D6">
        <w:t xml:space="preserve">      </w:t>
      </w:r>
    </w:p>
    <w:p w14:paraId="08987B52" w14:textId="77777777" w:rsidR="00E06BE0" w:rsidRDefault="00E06BE0" w:rsidP="008C7E91">
      <w:pPr>
        <w:pStyle w:val="SUBHEAD1PAPERSUMMARY"/>
        <w:rPr>
          <w:b w:val="0"/>
          <w:sz w:val="20"/>
          <w:szCs w:val="20"/>
        </w:rPr>
      </w:pPr>
    </w:p>
    <w:p w14:paraId="06120A0B" w14:textId="0C6C9EC4" w:rsidR="008C7E91" w:rsidRDefault="008C7E91" w:rsidP="008C7E91">
      <w:pPr>
        <w:pStyle w:val="SUBHEAD1PAPERSUMMARY"/>
        <w:rPr>
          <w:b w:val="0"/>
          <w:sz w:val="20"/>
          <w:szCs w:val="20"/>
        </w:rPr>
      </w:pPr>
      <w:r w:rsidRPr="000D3751">
        <w:rPr>
          <w:b w:val="0"/>
          <w:sz w:val="20"/>
          <w:szCs w:val="20"/>
        </w:rPr>
        <w:t>The Beta distribution</w:t>
      </w:r>
      <w:r w:rsidR="00433BCD">
        <w:rPr>
          <w:b w:val="0"/>
          <w:sz w:val="20"/>
          <w:szCs w:val="20"/>
        </w:rPr>
        <w:t xml:space="preserve"> shape between two bounds is </w:t>
      </w:r>
      <w:r w:rsidR="000E2A24">
        <w:rPr>
          <w:b w:val="0"/>
          <w:sz w:val="20"/>
          <w:szCs w:val="20"/>
        </w:rPr>
        <w:t>defined by two positive</w:t>
      </w:r>
      <w:r w:rsidR="00433BCD">
        <w:rPr>
          <w:b w:val="0"/>
          <w:sz w:val="20"/>
          <w:szCs w:val="20"/>
        </w:rPr>
        <w:t>-valued</w:t>
      </w:r>
      <w:r w:rsidR="000E2A24">
        <w:rPr>
          <w:b w:val="0"/>
          <w:sz w:val="20"/>
          <w:szCs w:val="20"/>
        </w:rPr>
        <w:t xml:space="preserve"> </w:t>
      </w:r>
      <w:r w:rsidR="000E2A24" w:rsidRPr="00D06AE2">
        <w:rPr>
          <w:b w:val="0"/>
          <w:sz w:val="20"/>
          <w:szCs w:val="20"/>
        </w:rPr>
        <w:t xml:space="preserve">parameters </w:t>
      </w:r>
      <m:oMath>
        <m:r>
          <m:rPr>
            <m:sty m:val="bi"/>
          </m:rPr>
          <w:rPr>
            <w:rFonts w:ascii="Cambria Math" w:hAnsi="Cambria Math"/>
            <w:sz w:val="20"/>
            <w:szCs w:val="20"/>
          </w:rPr>
          <m:t>α</m:t>
        </m:r>
      </m:oMath>
      <w:r w:rsidR="000E2A24" w:rsidRPr="00D06AE2">
        <w:rPr>
          <w:b w:val="0"/>
          <w:sz w:val="20"/>
          <w:szCs w:val="20"/>
        </w:rPr>
        <w:t xml:space="preserve"> </w:t>
      </w:r>
      <w:proofErr w:type="gramStart"/>
      <w:r w:rsidR="000E2A24" w:rsidRPr="00D06AE2">
        <w:rPr>
          <w:b w:val="0"/>
          <w:sz w:val="20"/>
          <w:szCs w:val="20"/>
        </w:rPr>
        <w:t xml:space="preserve">and </w:t>
      </w:r>
      <w:proofErr w:type="gramEnd"/>
      <m:oMath>
        <m:r>
          <m:rPr>
            <m:sty m:val="bi"/>
          </m:rPr>
          <w:rPr>
            <w:rFonts w:ascii="Cambria Math" w:hAnsi="Cambria Math"/>
            <w:sz w:val="20"/>
            <w:szCs w:val="20"/>
          </w:rPr>
          <m:t>β</m:t>
        </m:r>
      </m:oMath>
      <w:r w:rsidR="000E2A24" w:rsidRPr="00D06AE2">
        <w:rPr>
          <w:b w:val="0"/>
          <w:sz w:val="20"/>
          <w:szCs w:val="20"/>
        </w:rPr>
        <w:t xml:space="preserve">. </w:t>
      </w:r>
      <w:proofErr w:type="gramStart"/>
      <w:r w:rsidR="00B52D39" w:rsidRPr="00D06AE2">
        <w:rPr>
          <w:b w:val="0"/>
          <w:sz w:val="20"/>
          <w:szCs w:val="20"/>
        </w:rPr>
        <w:t>W</w:t>
      </w:r>
      <w:r w:rsidRPr="00D06AE2">
        <w:rPr>
          <w:b w:val="0"/>
          <w:sz w:val="20"/>
          <w:szCs w:val="20"/>
        </w:rPr>
        <w:t xml:space="preserve">ith </w:t>
      </w:r>
      <w:proofErr w:type="gramEnd"/>
      <m:oMath>
        <m:r>
          <m:rPr>
            <m:sty m:val="bi"/>
          </m:rPr>
          <w:rPr>
            <w:rFonts w:ascii="Cambria Math" w:hAnsi="Cambria Math"/>
            <w:sz w:val="20"/>
            <w:szCs w:val="20"/>
          </w:rPr>
          <m:t>α</m:t>
        </m:r>
        <m:r>
          <m:rPr>
            <m:sty m:val="b"/>
          </m:rPr>
          <w:rPr>
            <w:rFonts w:ascii="Cambria Math" w:hAnsi="Cambria Math"/>
            <w:sz w:val="20"/>
            <w:szCs w:val="20"/>
          </w:rPr>
          <m:t>=</m:t>
        </m:r>
        <m:r>
          <m:rPr>
            <m:sty m:val="bi"/>
          </m:rPr>
          <w:rPr>
            <w:rFonts w:ascii="Cambria Math" w:hAnsi="Cambria Math"/>
            <w:sz w:val="20"/>
            <w:szCs w:val="20"/>
          </w:rPr>
          <m:t>β</m:t>
        </m:r>
        <m:r>
          <m:rPr>
            <m:sty m:val="b"/>
          </m:rPr>
          <w:rPr>
            <w:rFonts w:ascii="Cambria Math" w:hAnsi="Cambria Math"/>
            <w:sz w:val="20"/>
            <w:szCs w:val="20"/>
          </w:rPr>
          <m:t>=1</m:t>
        </m:r>
      </m:oMath>
      <w:r w:rsidR="00433BCD" w:rsidRPr="00D06AE2">
        <w:rPr>
          <w:b w:val="0"/>
          <w:sz w:val="20"/>
          <w:szCs w:val="20"/>
        </w:rPr>
        <w:t xml:space="preserve">, </w:t>
      </w:r>
      <w:r w:rsidR="00B52D39" w:rsidRPr="00D06AE2">
        <w:rPr>
          <w:b w:val="0"/>
          <w:sz w:val="20"/>
          <w:szCs w:val="20"/>
        </w:rPr>
        <w:t xml:space="preserve">the Beta </w:t>
      </w:r>
      <w:r w:rsidRPr="00D06AE2">
        <w:rPr>
          <w:b w:val="0"/>
          <w:sz w:val="20"/>
          <w:szCs w:val="20"/>
        </w:rPr>
        <w:t xml:space="preserve">is equivalent to a Uniform, so was a natural </w:t>
      </w:r>
      <w:r w:rsidR="00433BCD" w:rsidRPr="00D06AE2">
        <w:rPr>
          <w:b w:val="0"/>
          <w:sz w:val="20"/>
          <w:szCs w:val="20"/>
        </w:rPr>
        <w:t xml:space="preserve">mechanism </w:t>
      </w:r>
      <w:r w:rsidRPr="00D06AE2">
        <w:rPr>
          <w:b w:val="0"/>
          <w:sz w:val="20"/>
          <w:szCs w:val="20"/>
        </w:rPr>
        <w:t>for comparison</w:t>
      </w:r>
      <w:r w:rsidR="00433BCD" w:rsidRPr="00D06AE2">
        <w:rPr>
          <w:b w:val="0"/>
          <w:sz w:val="20"/>
          <w:szCs w:val="20"/>
        </w:rPr>
        <w:t xml:space="preserve"> of numerous options</w:t>
      </w:r>
      <w:r w:rsidRPr="00D06AE2">
        <w:rPr>
          <w:b w:val="0"/>
          <w:sz w:val="20"/>
          <w:szCs w:val="20"/>
        </w:rPr>
        <w:t xml:space="preserve">. Both Uniform and Beta </w:t>
      </w:r>
      <w:r w:rsidR="00433BCD" w:rsidRPr="00D06AE2">
        <w:rPr>
          <w:b w:val="0"/>
          <w:sz w:val="20"/>
          <w:szCs w:val="20"/>
        </w:rPr>
        <w:t xml:space="preserve">require </w:t>
      </w:r>
      <w:r w:rsidRPr="00D06AE2">
        <w:rPr>
          <w:b w:val="0"/>
          <w:sz w:val="20"/>
          <w:szCs w:val="20"/>
        </w:rPr>
        <w:t>the selection of a max crack size, but the Beta allows tapering by changing</w:t>
      </w:r>
      <w:r w:rsidR="002114F7" w:rsidRPr="00D06AE2">
        <w:rPr>
          <w:b w:val="0"/>
          <w:sz w:val="20"/>
          <w:szCs w:val="20"/>
        </w:rPr>
        <w:t xml:space="preserve"> </w:t>
      </w:r>
      <w:proofErr w:type="gramStart"/>
      <w:r w:rsidR="002114F7" w:rsidRPr="00D06AE2">
        <w:rPr>
          <w:b w:val="0"/>
          <w:sz w:val="20"/>
          <w:szCs w:val="20"/>
        </w:rPr>
        <w:t>the</w:t>
      </w:r>
      <w:r w:rsidRPr="00D06AE2">
        <w:rPr>
          <w:b w:val="0"/>
          <w:sz w:val="20"/>
          <w:szCs w:val="20"/>
        </w:rPr>
        <w:t xml:space="preserve"> </w:t>
      </w:r>
      <m:oMath>
        <m:r>
          <m:rPr>
            <m:sty m:val="bi"/>
          </m:rPr>
          <w:rPr>
            <w:rFonts w:ascii="Cambria Math" w:hAnsi="Cambria Math"/>
            <w:sz w:val="20"/>
            <w:szCs w:val="20"/>
          </w:rPr>
          <m:t>α</m:t>
        </m:r>
      </m:oMath>
      <w:r w:rsidRPr="00D06AE2">
        <w:rPr>
          <w:b w:val="0"/>
          <w:sz w:val="20"/>
          <w:szCs w:val="20"/>
        </w:rPr>
        <w:t xml:space="preserve"> and</w:t>
      </w:r>
      <w:proofErr w:type="gramEnd"/>
      <w:r w:rsidRPr="00D06AE2">
        <w:rPr>
          <w:b w:val="0"/>
          <w:sz w:val="20"/>
          <w:szCs w:val="20"/>
        </w:rPr>
        <w:t xml:space="preserve"> </w:t>
      </w:r>
      <m:oMath>
        <m:r>
          <m:rPr>
            <m:sty m:val="bi"/>
          </m:rPr>
          <w:rPr>
            <w:rFonts w:ascii="Cambria Math" w:hAnsi="Cambria Math"/>
            <w:sz w:val="20"/>
            <w:szCs w:val="20"/>
          </w:rPr>
          <m:t>β</m:t>
        </m:r>
      </m:oMath>
      <w:r w:rsidRPr="008C7E91">
        <w:rPr>
          <w:b w:val="0"/>
          <w:sz w:val="20"/>
          <w:szCs w:val="20"/>
        </w:rPr>
        <w:t xml:space="preserve"> parameters. </w:t>
      </w:r>
      <w:r w:rsidR="00E06BE0">
        <w:rPr>
          <w:b w:val="0"/>
          <w:sz w:val="20"/>
          <w:szCs w:val="20"/>
        </w:rPr>
        <w:t xml:space="preserve">The model was applied on log scale. </w:t>
      </w:r>
    </w:p>
    <w:p w14:paraId="7D865CA8" w14:textId="464D0408" w:rsidR="0011734D" w:rsidRDefault="0011734D" w:rsidP="00A513B0">
      <w:pPr>
        <w:pStyle w:val="SUBHEAD1PAPERSUMMARY"/>
        <w:rPr>
          <w:b w:val="0"/>
          <w:sz w:val="20"/>
          <w:szCs w:val="20"/>
        </w:rPr>
      </w:pPr>
    </w:p>
    <w:p w14:paraId="13A087DE" w14:textId="137CD7AB" w:rsidR="008C526F" w:rsidRPr="008C526F" w:rsidRDefault="008C526F" w:rsidP="008C526F">
      <w:pPr>
        <w:pStyle w:val="BODYTEXTPAPERSUMMARY"/>
        <w:rPr>
          <w:b/>
          <w:color w:val="000000" w:themeColor="text1"/>
        </w:rPr>
      </w:pPr>
      <w:r>
        <w:rPr>
          <w:b/>
          <w:color w:val="000000" w:themeColor="text1"/>
        </w:rPr>
        <w:t xml:space="preserve">Flaw Allocation </w:t>
      </w:r>
      <w:r w:rsidRPr="008C526F">
        <w:rPr>
          <w:b/>
          <w:color w:val="000000" w:themeColor="text1"/>
        </w:rPr>
        <w:t>Visualization</w:t>
      </w:r>
      <w:r w:rsidR="002C30D6">
        <w:rPr>
          <w:b/>
          <w:color w:val="000000" w:themeColor="text1"/>
        </w:rPr>
        <w:t xml:space="preserve"> Tool</w:t>
      </w:r>
    </w:p>
    <w:p w14:paraId="4AD80E10" w14:textId="04C48454" w:rsidR="008C526F" w:rsidRDefault="00A85F5E" w:rsidP="00A513B0">
      <w:pPr>
        <w:pStyle w:val="SUBHEAD1PAPERSUMMARY"/>
        <w:rPr>
          <w:b w:val="0"/>
          <w:sz w:val="20"/>
          <w:szCs w:val="20"/>
        </w:rPr>
      </w:pPr>
      <w:r>
        <w:rPr>
          <w:b w:val="0"/>
          <w:sz w:val="20"/>
          <w:szCs w:val="20"/>
        </w:rPr>
        <w:t xml:space="preserve">A calculator tool was </w:t>
      </w:r>
      <w:r w:rsidR="000E2A24">
        <w:rPr>
          <w:b w:val="0"/>
          <w:sz w:val="20"/>
          <w:szCs w:val="20"/>
        </w:rPr>
        <w:t>constructed</w:t>
      </w:r>
      <w:r>
        <w:rPr>
          <w:b w:val="0"/>
          <w:sz w:val="20"/>
          <w:szCs w:val="20"/>
        </w:rPr>
        <w:t xml:space="preserve"> to automatically allocate target </w:t>
      </w:r>
      <w:r w:rsidR="00E06BE0">
        <w:rPr>
          <w:b w:val="0"/>
          <w:sz w:val="20"/>
          <w:szCs w:val="20"/>
        </w:rPr>
        <w:t xml:space="preserve">Beta </w:t>
      </w:r>
      <w:r>
        <w:rPr>
          <w:b w:val="0"/>
          <w:sz w:val="20"/>
          <w:szCs w:val="20"/>
        </w:rPr>
        <w:t>distribution</w:t>
      </w:r>
      <w:r w:rsidR="00E06BE0">
        <w:rPr>
          <w:b w:val="0"/>
          <w:sz w:val="20"/>
          <w:szCs w:val="20"/>
        </w:rPr>
        <w:t>s in intervals</w:t>
      </w:r>
      <w:r>
        <w:rPr>
          <w:b w:val="0"/>
          <w:sz w:val="20"/>
          <w:szCs w:val="20"/>
        </w:rPr>
        <w:t xml:space="preserve"> across the specified range </w:t>
      </w:r>
      <w:r w:rsidR="00271559">
        <w:rPr>
          <w:b w:val="0"/>
          <w:sz w:val="20"/>
          <w:szCs w:val="20"/>
        </w:rPr>
        <w:t>on log scale</w:t>
      </w:r>
      <w:r w:rsidR="00E06BE0">
        <w:rPr>
          <w:b w:val="0"/>
          <w:sz w:val="20"/>
          <w:szCs w:val="20"/>
        </w:rPr>
        <w:t>,</w:t>
      </w:r>
      <w:r>
        <w:rPr>
          <w:b w:val="0"/>
          <w:sz w:val="20"/>
          <w:szCs w:val="20"/>
        </w:rPr>
        <w:t xml:space="preserve"> provide a visual comparison to the legacy flaw allocation</w:t>
      </w:r>
      <w:r w:rsidR="00271559">
        <w:rPr>
          <w:b w:val="0"/>
          <w:sz w:val="20"/>
          <w:szCs w:val="20"/>
        </w:rPr>
        <w:t>,</w:t>
      </w:r>
      <w:r>
        <w:rPr>
          <w:b w:val="0"/>
          <w:sz w:val="20"/>
          <w:szCs w:val="20"/>
        </w:rPr>
        <w:t xml:space="preserve"> as well as </w:t>
      </w:r>
      <w:r w:rsidR="000E2A24">
        <w:rPr>
          <w:b w:val="0"/>
          <w:sz w:val="20"/>
          <w:szCs w:val="20"/>
        </w:rPr>
        <w:t xml:space="preserve">to </w:t>
      </w:r>
      <w:r>
        <w:rPr>
          <w:b w:val="0"/>
          <w:sz w:val="20"/>
          <w:szCs w:val="20"/>
        </w:rPr>
        <w:t xml:space="preserve">the baseline </w:t>
      </w:r>
      <w:r w:rsidR="002C30D6">
        <w:rPr>
          <w:b w:val="0"/>
          <w:sz w:val="20"/>
          <w:szCs w:val="20"/>
        </w:rPr>
        <w:t>U</w:t>
      </w:r>
      <w:r>
        <w:rPr>
          <w:b w:val="0"/>
          <w:sz w:val="20"/>
          <w:szCs w:val="20"/>
        </w:rPr>
        <w:t>niform.</w:t>
      </w:r>
      <w:r w:rsidR="006045B0">
        <w:rPr>
          <w:b w:val="0"/>
          <w:sz w:val="20"/>
          <w:szCs w:val="20"/>
        </w:rPr>
        <w:t xml:space="preserve"> </w:t>
      </w:r>
      <w:r w:rsidR="00271559">
        <w:rPr>
          <w:b w:val="0"/>
          <w:sz w:val="20"/>
          <w:szCs w:val="20"/>
        </w:rPr>
        <w:t xml:space="preserve">Results were color coded for easy visibility, so that subtle differences were more easily distinguishable. </w:t>
      </w:r>
      <w:r w:rsidR="00FC5C56">
        <w:rPr>
          <w:b w:val="0"/>
          <w:sz w:val="20"/>
          <w:szCs w:val="20"/>
        </w:rPr>
        <w:t>The distribution could be adjusted by modifying f</w:t>
      </w:r>
      <w:r w:rsidR="002C30D6">
        <w:rPr>
          <w:b w:val="0"/>
          <w:sz w:val="20"/>
          <w:szCs w:val="20"/>
        </w:rPr>
        <w:t xml:space="preserve">law max </w:t>
      </w:r>
      <w:r w:rsidR="00FC5C56">
        <w:rPr>
          <w:b w:val="0"/>
          <w:sz w:val="20"/>
          <w:szCs w:val="20"/>
        </w:rPr>
        <w:t>size and the number of desired intervals.</w:t>
      </w:r>
    </w:p>
    <w:p w14:paraId="6E1EF584" w14:textId="77777777" w:rsidR="008C526F" w:rsidRDefault="008C526F" w:rsidP="00A513B0">
      <w:pPr>
        <w:pStyle w:val="SUBHEAD1PAPERSUMMARY"/>
        <w:rPr>
          <w:b w:val="0"/>
          <w:sz w:val="20"/>
          <w:szCs w:val="20"/>
        </w:rPr>
      </w:pPr>
    </w:p>
    <w:p w14:paraId="79943292" w14:textId="6F441665" w:rsidR="00FF6F7F" w:rsidRPr="008C526F" w:rsidRDefault="008C526F" w:rsidP="00A513B0">
      <w:pPr>
        <w:pStyle w:val="SUBHEAD1PAPERSUMMARY"/>
        <w:rPr>
          <w:sz w:val="20"/>
          <w:szCs w:val="20"/>
        </w:rPr>
      </w:pPr>
      <w:r>
        <w:rPr>
          <w:sz w:val="20"/>
          <w:szCs w:val="20"/>
        </w:rPr>
        <w:t xml:space="preserve">Flaw </w:t>
      </w:r>
      <w:r w:rsidR="00FF6F7F">
        <w:rPr>
          <w:sz w:val="20"/>
          <w:szCs w:val="20"/>
        </w:rPr>
        <w:t>Size Distribution Limits</w:t>
      </w:r>
    </w:p>
    <w:p w14:paraId="0C2E0992" w14:textId="0622D1FD" w:rsidR="00167CB3" w:rsidRDefault="00C4769F" w:rsidP="00271559">
      <w:pPr>
        <w:pStyle w:val="SUBHEAD1PAPERSUMMARY"/>
        <w:rPr>
          <w:b w:val="0"/>
          <w:sz w:val="20"/>
          <w:szCs w:val="20"/>
        </w:rPr>
      </w:pPr>
      <w:r>
        <w:rPr>
          <w:b w:val="0"/>
          <w:sz w:val="20"/>
          <w:szCs w:val="20"/>
        </w:rPr>
        <w:t xml:space="preserve">A panel set needs to have sufficient small flaws to anchor the distribution at the low end. Flaws at or below 0.010 in are found rarely, even by the best inspectors. </w:t>
      </w:r>
      <w:r w:rsidR="00167CB3">
        <w:rPr>
          <w:b w:val="0"/>
          <w:sz w:val="20"/>
          <w:szCs w:val="20"/>
        </w:rPr>
        <w:t xml:space="preserve">The minimum flaw size in the initial panel set requirements was 0.005 in, the smallest flaw that could be requested from the vendor. The smallest flaw in the legacy set was 0.008 in. </w:t>
      </w:r>
    </w:p>
    <w:p w14:paraId="09833916" w14:textId="77777777" w:rsidR="00C4769F" w:rsidRDefault="00C4769F" w:rsidP="00271559">
      <w:pPr>
        <w:pStyle w:val="SUBHEAD1PAPERSUMMARY"/>
        <w:rPr>
          <w:b w:val="0"/>
          <w:sz w:val="20"/>
          <w:szCs w:val="20"/>
        </w:rPr>
      </w:pPr>
    </w:p>
    <w:p w14:paraId="152E6389" w14:textId="75E86FB0" w:rsidR="00167CB3" w:rsidRDefault="00C4769F" w:rsidP="00271559">
      <w:pPr>
        <w:pStyle w:val="SUBHEAD1PAPERSUMMARY"/>
        <w:rPr>
          <w:b w:val="0"/>
          <w:sz w:val="20"/>
          <w:szCs w:val="20"/>
        </w:rPr>
      </w:pPr>
      <w:r>
        <w:rPr>
          <w:b w:val="0"/>
          <w:sz w:val="20"/>
          <w:szCs w:val="20"/>
        </w:rPr>
        <w:t>The flaw</w:t>
      </w:r>
      <w:r w:rsidR="00FF6F7F">
        <w:rPr>
          <w:b w:val="0"/>
          <w:sz w:val="20"/>
          <w:szCs w:val="20"/>
        </w:rPr>
        <w:t xml:space="preserve"> distribution is </w:t>
      </w:r>
      <w:r>
        <w:rPr>
          <w:b w:val="0"/>
          <w:sz w:val="20"/>
          <w:szCs w:val="20"/>
        </w:rPr>
        <w:t>defined in large part by</w:t>
      </w:r>
      <w:r w:rsidR="00FF6F7F">
        <w:rPr>
          <w:b w:val="0"/>
          <w:sz w:val="20"/>
          <w:szCs w:val="20"/>
        </w:rPr>
        <w:t xml:space="preserve"> its upper bound, so identifying an appropriate value was a critical input. The maximum flaw size in the legacy panel set was 0.417 in, which was considered unnecessary, given the target threshold range of interest was nominally at 0.050 in. </w:t>
      </w:r>
      <w:r w:rsidR="00271559">
        <w:rPr>
          <w:b w:val="0"/>
          <w:sz w:val="20"/>
          <w:szCs w:val="20"/>
        </w:rPr>
        <w:t xml:space="preserve">A number of options were considered and sensitivities assessed. The max target flaw size considered in defining the initial panel set requirements was targeted to be 0.150 in, 3X the target nominal threshold range of 0.050 in, a notable decrease from the legacy max value. </w:t>
      </w:r>
      <w:r w:rsidR="00167CB3">
        <w:rPr>
          <w:b w:val="0"/>
          <w:sz w:val="20"/>
          <w:szCs w:val="20"/>
        </w:rPr>
        <w:t>This</w:t>
      </w:r>
      <w:r w:rsidR="00271559">
        <w:rPr>
          <w:b w:val="0"/>
          <w:sz w:val="20"/>
          <w:szCs w:val="20"/>
        </w:rPr>
        <w:t xml:space="preserve"> 3X factor was considered </w:t>
      </w:r>
      <w:r w:rsidR="00167CB3">
        <w:rPr>
          <w:b w:val="0"/>
          <w:sz w:val="20"/>
          <w:szCs w:val="20"/>
        </w:rPr>
        <w:t>sufficiently wide enough</w:t>
      </w:r>
      <w:r w:rsidR="00271559">
        <w:rPr>
          <w:b w:val="0"/>
          <w:sz w:val="20"/>
          <w:szCs w:val="20"/>
        </w:rPr>
        <w:t xml:space="preserve"> </w:t>
      </w:r>
      <w:r w:rsidR="00167CB3">
        <w:rPr>
          <w:b w:val="0"/>
          <w:sz w:val="20"/>
          <w:szCs w:val="20"/>
        </w:rPr>
        <w:t>to</w:t>
      </w:r>
      <w:r w:rsidR="00271559">
        <w:rPr>
          <w:b w:val="0"/>
          <w:sz w:val="20"/>
          <w:szCs w:val="20"/>
        </w:rPr>
        <w:t xml:space="preserve"> capture the threshold range for </w:t>
      </w:r>
      <w:r w:rsidR="00167CB3">
        <w:rPr>
          <w:b w:val="0"/>
          <w:sz w:val="20"/>
          <w:szCs w:val="20"/>
        </w:rPr>
        <w:t>the expected</w:t>
      </w:r>
      <w:r w:rsidR="00271559">
        <w:rPr>
          <w:b w:val="0"/>
          <w:sz w:val="20"/>
          <w:szCs w:val="20"/>
        </w:rPr>
        <w:t xml:space="preserve"> range of inspector capabilities</w:t>
      </w:r>
      <w:r w:rsidR="00167CB3">
        <w:rPr>
          <w:b w:val="0"/>
          <w:sz w:val="20"/>
          <w:szCs w:val="20"/>
        </w:rPr>
        <w:t xml:space="preserve">, especially given the tighter bounds available with the higher flaw count. </w:t>
      </w:r>
      <w:r>
        <w:rPr>
          <w:b w:val="0"/>
          <w:sz w:val="20"/>
          <w:szCs w:val="20"/>
        </w:rPr>
        <w:t>While t</w:t>
      </w:r>
      <w:r w:rsidR="00167CB3">
        <w:rPr>
          <w:b w:val="0"/>
          <w:sz w:val="20"/>
          <w:szCs w:val="20"/>
        </w:rPr>
        <w:t xml:space="preserve">he panel set redesign </w:t>
      </w:r>
      <w:r>
        <w:rPr>
          <w:b w:val="0"/>
          <w:sz w:val="20"/>
          <w:szCs w:val="20"/>
        </w:rPr>
        <w:t xml:space="preserve">needed to be able to quantify performance for inspectors across all performance levels, a key focus was </w:t>
      </w:r>
      <w:r w:rsidR="00167CB3">
        <w:rPr>
          <w:b w:val="0"/>
          <w:sz w:val="20"/>
          <w:szCs w:val="20"/>
        </w:rPr>
        <w:t>on improving</w:t>
      </w:r>
      <w:r>
        <w:rPr>
          <w:b w:val="0"/>
          <w:sz w:val="20"/>
          <w:szCs w:val="20"/>
        </w:rPr>
        <w:t xml:space="preserve"> the tool’s</w:t>
      </w:r>
      <w:r w:rsidR="00167CB3">
        <w:rPr>
          <w:b w:val="0"/>
          <w:sz w:val="20"/>
          <w:szCs w:val="20"/>
        </w:rPr>
        <w:t xml:space="preserve"> capacity to </w:t>
      </w:r>
      <w:r>
        <w:rPr>
          <w:b w:val="0"/>
          <w:sz w:val="20"/>
          <w:szCs w:val="20"/>
        </w:rPr>
        <w:t>assess higher performers. Usi</w:t>
      </w:r>
      <w:r w:rsidR="00167CB3">
        <w:rPr>
          <w:b w:val="0"/>
          <w:sz w:val="20"/>
          <w:szCs w:val="20"/>
        </w:rPr>
        <w:t>ng a lower max provide</w:t>
      </w:r>
      <w:r>
        <w:rPr>
          <w:b w:val="0"/>
          <w:sz w:val="20"/>
          <w:szCs w:val="20"/>
        </w:rPr>
        <w:t>s</w:t>
      </w:r>
      <w:r w:rsidR="00167CB3">
        <w:rPr>
          <w:b w:val="0"/>
          <w:sz w:val="20"/>
          <w:szCs w:val="20"/>
        </w:rPr>
        <w:t xml:space="preserve"> greater visibility into that of the better inspectors</w:t>
      </w:r>
      <w:r>
        <w:rPr>
          <w:b w:val="0"/>
          <w:sz w:val="20"/>
          <w:szCs w:val="20"/>
        </w:rPr>
        <w:t>, since it concentrates the flaws into a narrower zone.</w:t>
      </w:r>
    </w:p>
    <w:p w14:paraId="35F1A504" w14:textId="095C6CB8" w:rsidR="00BB2BC4" w:rsidRDefault="00271559" w:rsidP="00271559">
      <w:pPr>
        <w:pStyle w:val="SUBHEAD1PAPERSUMMARY"/>
        <w:rPr>
          <w:b w:val="0"/>
          <w:sz w:val="20"/>
          <w:szCs w:val="20"/>
        </w:rPr>
      </w:pPr>
      <w:r>
        <w:rPr>
          <w:b w:val="0"/>
          <w:sz w:val="20"/>
          <w:szCs w:val="20"/>
        </w:rPr>
        <w:t xml:space="preserve"> </w:t>
      </w:r>
    </w:p>
    <w:p w14:paraId="43DA3BB5" w14:textId="1B97B585" w:rsidR="006C3367" w:rsidRDefault="00787036" w:rsidP="00A513B0">
      <w:pPr>
        <w:pStyle w:val="SUBHEAD1PAPERSUMMARY"/>
        <w:rPr>
          <w:sz w:val="20"/>
          <w:szCs w:val="20"/>
        </w:rPr>
      </w:pPr>
      <w:r>
        <w:rPr>
          <w:sz w:val="20"/>
          <w:szCs w:val="20"/>
        </w:rPr>
        <w:t xml:space="preserve">Linear </w:t>
      </w:r>
      <w:r w:rsidR="00271559">
        <w:rPr>
          <w:sz w:val="20"/>
          <w:szCs w:val="20"/>
        </w:rPr>
        <w:t>Flaw Density</w:t>
      </w:r>
    </w:p>
    <w:p w14:paraId="42977FF7" w14:textId="4DD68F08" w:rsidR="00C4769F" w:rsidRDefault="00C4769F" w:rsidP="00A513B0">
      <w:pPr>
        <w:pStyle w:val="SUBHEAD1PAPERSUMMARY"/>
        <w:rPr>
          <w:b w:val="0"/>
          <w:sz w:val="20"/>
          <w:szCs w:val="20"/>
        </w:rPr>
      </w:pPr>
      <w:r>
        <w:rPr>
          <w:b w:val="0"/>
          <w:sz w:val="20"/>
          <w:szCs w:val="20"/>
        </w:rPr>
        <w:t xml:space="preserve">A simple metric was constructed to </w:t>
      </w:r>
      <w:r w:rsidR="00787036">
        <w:rPr>
          <w:b w:val="0"/>
          <w:sz w:val="20"/>
          <w:szCs w:val="20"/>
        </w:rPr>
        <w:t xml:space="preserve">characterize </w:t>
      </w:r>
      <w:r>
        <w:rPr>
          <w:b w:val="0"/>
          <w:sz w:val="20"/>
          <w:szCs w:val="20"/>
        </w:rPr>
        <w:t xml:space="preserve">overall panel set </w:t>
      </w:r>
      <w:r w:rsidR="00787036">
        <w:rPr>
          <w:b w:val="0"/>
          <w:sz w:val="20"/>
          <w:szCs w:val="20"/>
        </w:rPr>
        <w:t>attributes</w:t>
      </w:r>
      <w:r>
        <w:rPr>
          <w:b w:val="0"/>
          <w:sz w:val="20"/>
          <w:szCs w:val="20"/>
        </w:rPr>
        <w:t xml:space="preserve">, independent of inspector performance. </w:t>
      </w:r>
      <w:r w:rsidR="00433BCD">
        <w:rPr>
          <w:b w:val="0"/>
          <w:sz w:val="20"/>
          <w:szCs w:val="20"/>
        </w:rPr>
        <w:t>Linear f</w:t>
      </w:r>
      <w:r>
        <w:rPr>
          <w:b w:val="0"/>
          <w:sz w:val="20"/>
          <w:szCs w:val="20"/>
        </w:rPr>
        <w:t>law density, as defined in Equation 2, reflects average flaw levels over the linear range available.</w:t>
      </w:r>
    </w:p>
    <w:p w14:paraId="5ACEA883" w14:textId="77777777" w:rsidR="00490010" w:rsidRDefault="00490010" w:rsidP="00490010">
      <w:pPr>
        <w:pStyle w:val="SUBHEAD1PAPERSUMMARY"/>
        <w:rPr>
          <w:b w:val="0"/>
          <w:sz w:val="20"/>
          <w:szCs w:val="20"/>
        </w:rPr>
      </w:pPr>
    </w:p>
    <w:p w14:paraId="452391AF" w14:textId="51F6CDBD" w:rsidR="00490010" w:rsidRDefault="00490010" w:rsidP="00490010">
      <w:pPr>
        <w:pStyle w:val="BODYTEXTPAPERSUMMARY"/>
        <w:tabs>
          <w:tab w:val="right" w:pos="9360"/>
        </w:tabs>
        <w:rPr>
          <w:b/>
        </w:rPr>
      </w:pPr>
      <m:oMath>
        <m:r>
          <w:rPr>
            <w:rFonts w:ascii="Cambria Math" w:hAnsi="Cambria Math"/>
            <w:sz w:val="24"/>
            <w:szCs w:val="24"/>
          </w:rPr>
          <m:t>λ</m:t>
        </m:r>
        <m:r>
          <m:rPr>
            <m:sty m:val="bi"/>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L</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m:t>
            </m:r>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min</m:t>
                </m:r>
              </m:sub>
            </m:sSub>
          </m:den>
        </m:f>
        <m:r>
          <w:rPr>
            <w:rFonts w:ascii="Cambria Math" w:hAnsi="Cambria Math"/>
            <w:sz w:val="24"/>
            <w:szCs w:val="24"/>
          </w:rPr>
          <m:t xml:space="preserve"> </m:t>
        </m:r>
      </m:oMath>
      <w:r>
        <w:t xml:space="preserve">  </w:t>
      </w:r>
      <w:r>
        <w:rPr>
          <w:b/>
          <w:position w:val="-30"/>
        </w:rPr>
        <w:tab/>
      </w:r>
      <w:r>
        <w:rPr>
          <w:b/>
        </w:rPr>
        <w:t xml:space="preserve">(Eq. 2) </w:t>
      </w:r>
    </w:p>
    <w:p w14:paraId="0098C404" w14:textId="77777777" w:rsidR="00490010" w:rsidRDefault="00490010" w:rsidP="00490010">
      <w:pPr>
        <w:pStyle w:val="BODYTEXTPAPERSUMMARY"/>
        <w:rPr>
          <w:b/>
        </w:rPr>
      </w:pPr>
    </w:p>
    <w:p w14:paraId="7FA46DF8" w14:textId="381F64AD" w:rsidR="00490010" w:rsidRDefault="00490010" w:rsidP="00490010">
      <w:pPr>
        <w:pStyle w:val="BODYTEXTPAPERSUMMARY"/>
      </w:pPr>
      <w:proofErr w:type="gramStart"/>
      <w:r>
        <w:t>where</w:t>
      </w:r>
      <w:proofErr w:type="gramEnd"/>
    </w:p>
    <w:p w14:paraId="22BB9DC2" w14:textId="6B71BC1E" w:rsidR="00490010" w:rsidRDefault="00490010" w:rsidP="00490010">
      <w:pPr>
        <w:pStyle w:val="BODYTEXTPAPERSUMMARY"/>
      </w:pPr>
      <m:oMath>
        <m:r>
          <w:rPr>
            <w:rFonts w:ascii="Cambria Math" w:hAnsi="Cambria Math"/>
          </w:rPr>
          <m:t>λ</m:t>
        </m:r>
      </m:oMath>
      <w:r>
        <w:t xml:space="preserve"> = linear density of flaws per unit length,</w:t>
      </w:r>
    </w:p>
    <w:p w14:paraId="621BBCDA" w14:textId="5FF85ABB" w:rsidR="00490010" w:rsidRDefault="00490010" w:rsidP="00490010">
      <w:pPr>
        <w:pStyle w:val="BODYTEXTPAPERSUMMARY"/>
      </w:pPr>
      <m:oMath>
        <m:r>
          <w:rPr>
            <w:rFonts w:ascii="Cambria Math" w:hAnsi="Cambria Math"/>
          </w:rPr>
          <m:t>k</m:t>
        </m:r>
      </m:oMath>
      <w:r>
        <w:t xml:space="preserve"> = total number of flaws on the panel set, </w:t>
      </w:r>
    </w:p>
    <w:p w14:paraId="720DF357" w14:textId="50A1E0BD" w:rsidR="00490010" w:rsidRDefault="00490010" w:rsidP="00490010">
      <w:pPr>
        <w:pStyle w:val="BODYTEXTPAPERSUMMARY"/>
      </w:pPr>
      <m:oMath>
        <m:r>
          <w:rPr>
            <w:rFonts w:ascii="Cambria Math" w:hAnsi="Cambria Math"/>
          </w:rPr>
          <m:t>L</m:t>
        </m:r>
      </m:oMath>
      <w:r>
        <w:t xml:space="preserve"> = linear range from maximum to minimum flaw size values, and </w:t>
      </w:r>
    </w:p>
    <w:p w14:paraId="2E90FC8E" w14:textId="010F3061" w:rsidR="00490010" w:rsidRDefault="00DA63BC" w:rsidP="00490010">
      <w:pPr>
        <w:pStyle w:val="BODYTEXTPAPERSUMMARY"/>
      </w:pPr>
      <m:oMath>
        <m:sSub>
          <m:sSubPr>
            <m:ctrlPr>
              <w:rPr>
                <w:rFonts w:ascii="Cambria Math" w:hAnsi="Cambria Math"/>
                <w:i/>
              </w:rPr>
            </m:ctrlPr>
          </m:sSubPr>
          <m:e>
            <m:r>
              <w:rPr>
                <w:rFonts w:ascii="Cambria Math" w:hAnsi="Cambria Math"/>
              </w:rPr>
              <m:t>x</m:t>
            </m:r>
          </m:e>
          <m:sub>
            <m:r>
              <w:rPr>
                <w:rFonts w:ascii="Cambria Math" w:hAnsi="Cambria Math"/>
              </w:rPr>
              <m:t>min</m:t>
            </m:r>
          </m:sub>
        </m:sSub>
      </m:oMath>
      <w:r w:rsidR="00490010">
        <w:t xml:space="preserve">= minimum flaw size in the panel set, and </w:t>
      </w:r>
    </w:p>
    <w:p w14:paraId="74AC63D9" w14:textId="61263EA5" w:rsidR="00490010" w:rsidRDefault="00DA63BC" w:rsidP="00490010">
      <w:pPr>
        <w:pStyle w:val="BODYTEXTPAPERSUMMARY"/>
      </w:pPr>
      <m:oMath>
        <m:sSub>
          <m:sSubPr>
            <m:ctrlPr>
              <w:rPr>
                <w:rFonts w:ascii="Cambria Math" w:hAnsi="Cambria Math"/>
                <w:i/>
              </w:rPr>
            </m:ctrlPr>
          </m:sSubPr>
          <m:e>
            <m:r>
              <w:rPr>
                <w:rFonts w:ascii="Cambria Math" w:hAnsi="Cambria Math"/>
              </w:rPr>
              <m:t>x</m:t>
            </m:r>
          </m:e>
          <m:sub>
            <m:r>
              <w:rPr>
                <w:rFonts w:ascii="Cambria Math" w:hAnsi="Cambria Math"/>
              </w:rPr>
              <m:t>max</m:t>
            </m:r>
          </m:sub>
        </m:sSub>
      </m:oMath>
      <w:r w:rsidR="00490010">
        <w:t>= maximum flaw size in the panel set.</w:t>
      </w:r>
    </w:p>
    <w:p w14:paraId="32C124F9" w14:textId="77777777" w:rsidR="006C3367" w:rsidRDefault="006C3367" w:rsidP="00A513B0">
      <w:pPr>
        <w:pStyle w:val="SUBHEAD1PAPERSUMMARY"/>
        <w:rPr>
          <w:b w:val="0"/>
          <w:sz w:val="20"/>
          <w:szCs w:val="20"/>
        </w:rPr>
      </w:pPr>
    </w:p>
    <w:p w14:paraId="43738D5A" w14:textId="4CFD0D86" w:rsidR="00C4769F" w:rsidRDefault="008F4EAE" w:rsidP="00A513B0">
      <w:pPr>
        <w:pStyle w:val="SUBHEAD1PAPERSUMMARY"/>
        <w:rPr>
          <w:b w:val="0"/>
          <w:sz w:val="20"/>
          <w:szCs w:val="20"/>
        </w:rPr>
      </w:pPr>
      <w:r>
        <w:rPr>
          <w:b w:val="0"/>
          <w:sz w:val="20"/>
          <w:szCs w:val="20"/>
        </w:rPr>
        <w:t>The legacy panel set had experienced decreasing flaw density</w:t>
      </w:r>
      <w:r w:rsidR="00433BCD">
        <w:rPr>
          <w:b w:val="0"/>
          <w:sz w:val="20"/>
          <w:szCs w:val="20"/>
        </w:rPr>
        <w:t>,</w:t>
      </w:r>
      <w:r>
        <w:rPr>
          <w:b w:val="0"/>
          <w:sz w:val="20"/>
          <w:szCs w:val="20"/>
        </w:rPr>
        <w:t xml:space="preserve"> as its flaw count</w:t>
      </w:r>
      <w:r w:rsidR="002114F7">
        <w:rPr>
          <w:b w:val="0"/>
          <w:sz w:val="20"/>
          <w:szCs w:val="20"/>
        </w:rPr>
        <w:t xml:space="preserve"> had</w:t>
      </w:r>
      <w:r>
        <w:rPr>
          <w:b w:val="0"/>
          <w:sz w:val="20"/>
          <w:szCs w:val="20"/>
        </w:rPr>
        <w:t xml:space="preserve"> dropped from 64 to 59</w:t>
      </w:r>
      <w:r w:rsidR="00433BCD">
        <w:rPr>
          <w:b w:val="0"/>
          <w:sz w:val="20"/>
          <w:szCs w:val="20"/>
        </w:rPr>
        <w:t>; its</w:t>
      </w:r>
      <w:r>
        <w:rPr>
          <w:b w:val="0"/>
          <w:sz w:val="20"/>
          <w:szCs w:val="20"/>
        </w:rPr>
        <w:t xml:space="preserve"> baseline value of 156 had </w:t>
      </w:r>
      <w:r w:rsidR="00516EF2">
        <w:rPr>
          <w:b w:val="0"/>
          <w:sz w:val="20"/>
          <w:szCs w:val="20"/>
        </w:rPr>
        <w:t xml:space="preserve">gone </w:t>
      </w:r>
      <w:r>
        <w:rPr>
          <w:b w:val="0"/>
          <w:sz w:val="20"/>
          <w:szCs w:val="20"/>
        </w:rPr>
        <w:t>to 144</w:t>
      </w:r>
      <w:r w:rsidR="002114F7">
        <w:rPr>
          <w:b w:val="0"/>
          <w:sz w:val="20"/>
          <w:szCs w:val="20"/>
        </w:rPr>
        <w:t xml:space="preserve"> flaws/in</w:t>
      </w:r>
      <w:r>
        <w:rPr>
          <w:b w:val="0"/>
          <w:sz w:val="20"/>
          <w:szCs w:val="20"/>
        </w:rPr>
        <w:t xml:space="preserve">. </w:t>
      </w:r>
      <w:r w:rsidR="00433BCD">
        <w:rPr>
          <w:b w:val="0"/>
          <w:sz w:val="20"/>
          <w:szCs w:val="20"/>
        </w:rPr>
        <w:t xml:space="preserve">A </w:t>
      </w:r>
      <w:r w:rsidR="002114F7">
        <w:rPr>
          <w:b w:val="0"/>
          <w:sz w:val="20"/>
          <w:szCs w:val="20"/>
        </w:rPr>
        <w:t>var</w:t>
      </w:r>
      <w:r w:rsidR="00B52D39">
        <w:rPr>
          <w:b w:val="0"/>
          <w:sz w:val="20"/>
          <w:szCs w:val="20"/>
        </w:rPr>
        <w:t>iety of options</w:t>
      </w:r>
      <w:r w:rsidR="00433BCD">
        <w:rPr>
          <w:b w:val="0"/>
          <w:sz w:val="20"/>
          <w:szCs w:val="20"/>
        </w:rPr>
        <w:t xml:space="preserve"> were considered</w:t>
      </w:r>
      <w:r w:rsidR="00B52D39">
        <w:rPr>
          <w:b w:val="0"/>
          <w:sz w:val="20"/>
          <w:szCs w:val="20"/>
        </w:rPr>
        <w:t xml:space="preserve">. The target allocation of 80 flaws with max flaw size approximately equal to 0.150 in would have improved flaw density to ~550 flaws/in </w:t>
      </w:r>
      <w:r w:rsidR="00B52D39">
        <w:rPr>
          <w:b w:val="0"/>
          <w:sz w:val="20"/>
          <w:szCs w:val="20"/>
        </w:rPr>
        <w:lastRenderedPageBreak/>
        <w:t xml:space="preserve">(90/0.145), assuming all were used, a substantial improvement over the legacy set. </w:t>
      </w:r>
      <w:r w:rsidR="006C3367">
        <w:rPr>
          <w:b w:val="0"/>
          <w:sz w:val="20"/>
          <w:szCs w:val="20"/>
        </w:rPr>
        <w:t xml:space="preserve">Flaw density </w:t>
      </w:r>
      <w:r w:rsidR="00433BCD">
        <w:rPr>
          <w:b w:val="0"/>
          <w:sz w:val="20"/>
          <w:szCs w:val="20"/>
        </w:rPr>
        <w:t>should</w:t>
      </w:r>
      <w:r w:rsidR="00787036">
        <w:rPr>
          <w:b w:val="0"/>
          <w:sz w:val="20"/>
          <w:szCs w:val="20"/>
        </w:rPr>
        <w:t xml:space="preserve"> be optimized </w:t>
      </w:r>
      <w:r w:rsidR="006C3367">
        <w:rPr>
          <w:b w:val="0"/>
          <w:sz w:val="20"/>
          <w:szCs w:val="20"/>
        </w:rPr>
        <w:t>depending on specific NDE needs</w:t>
      </w:r>
      <w:r w:rsidR="00433BCD">
        <w:rPr>
          <w:b w:val="0"/>
          <w:sz w:val="20"/>
          <w:szCs w:val="20"/>
        </w:rPr>
        <w:t>; higher flaw density is not a simple indication of quality.</w:t>
      </w:r>
    </w:p>
    <w:p w14:paraId="22FCA473" w14:textId="77777777" w:rsidR="001E7A2C" w:rsidRDefault="001E7A2C" w:rsidP="00A513B0">
      <w:pPr>
        <w:pStyle w:val="SUBHEAD1PAPERSUMMARY"/>
        <w:rPr>
          <w:b w:val="0"/>
          <w:sz w:val="20"/>
          <w:szCs w:val="20"/>
        </w:rPr>
      </w:pPr>
    </w:p>
    <w:p w14:paraId="61E59AEA" w14:textId="7042B3FC" w:rsidR="00F92842" w:rsidRDefault="00C4769F" w:rsidP="00F92842">
      <w:pPr>
        <w:pStyle w:val="SUBHEAD1PAPERSUMMARY"/>
      </w:pPr>
      <w:r>
        <w:rPr>
          <w:b w:val="0"/>
          <w:sz w:val="20"/>
          <w:szCs w:val="20"/>
        </w:rPr>
        <w:t xml:space="preserve"> </w:t>
      </w:r>
      <w:r w:rsidR="00F92842">
        <w:t>QUALIFICATION</w:t>
      </w:r>
      <w:r w:rsidR="008C526F">
        <w:t xml:space="preserve"> AND FINAL PANEL SET DEFINITION</w:t>
      </w:r>
    </w:p>
    <w:p w14:paraId="78454699" w14:textId="2A6C9693" w:rsidR="00D164F6" w:rsidRDefault="004E1D4C" w:rsidP="00A513B0">
      <w:pPr>
        <w:pStyle w:val="SUBHEAD1PAPERSUMMARY"/>
        <w:rPr>
          <w:b w:val="0"/>
          <w:sz w:val="20"/>
          <w:szCs w:val="20"/>
        </w:rPr>
      </w:pPr>
      <w:r>
        <w:rPr>
          <w:b w:val="0"/>
          <w:sz w:val="20"/>
          <w:szCs w:val="20"/>
        </w:rPr>
        <w:t xml:space="preserve">The AR Materials and Process Engineering (MPE) Lab was tasked to identify and characterize flaws found on the new panels. Optical microscopy was used to view and capture flaw images, with measurements obtained using the Keyence software. </w:t>
      </w:r>
      <w:r w:rsidR="004A1F61">
        <w:rPr>
          <w:b w:val="0"/>
          <w:sz w:val="20"/>
          <w:szCs w:val="20"/>
        </w:rPr>
        <w:t>Documentation provided by the vendor was used to create masks for each panel using approximate locations and length. Differences were noted in measured values and orientation for individual flaws, but no consistent bias was present (paired t-test, p-value = 0.222). AR MPE measurements have been used for all subsequent work.</w:t>
      </w:r>
      <w:r>
        <w:rPr>
          <w:b w:val="0"/>
          <w:sz w:val="20"/>
          <w:szCs w:val="20"/>
        </w:rPr>
        <w:t xml:space="preserve"> </w:t>
      </w:r>
      <w:r w:rsidR="004A1F61">
        <w:rPr>
          <w:b w:val="0"/>
          <w:sz w:val="20"/>
          <w:szCs w:val="20"/>
        </w:rPr>
        <w:t>The final distribution of flaws obtained</w:t>
      </w:r>
      <w:r w:rsidR="00D90691">
        <w:rPr>
          <w:b w:val="0"/>
          <w:sz w:val="20"/>
          <w:szCs w:val="20"/>
        </w:rPr>
        <w:t xml:space="preserve"> contained 87 flaws, more than the target minimum count of 80 requested,</w:t>
      </w:r>
      <w:r w:rsidR="004A1F61">
        <w:rPr>
          <w:b w:val="0"/>
          <w:sz w:val="20"/>
          <w:szCs w:val="20"/>
        </w:rPr>
        <w:t xml:space="preserve"> </w:t>
      </w:r>
      <w:r w:rsidR="00D90691">
        <w:rPr>
          <w:b w:val="0"/>
          <w:sz w:val="20"/>
          <w:szCs w:val="20"/>
        </w:rPr>
        <w:t>with more smaller flaws than requested</w:t>
      </w:r>
      <w:r w:rsidR="00A85F5E">
        <w:rPr>
          <w:b w:val="0"/>
          <w:sz w:val="20"/>
          <w:szCs w:val="20"/>
        </w:rPr>
        <w:t xml:space="preserve"> (Log-rank test, p-value = 0.006)</w:t>
      </w:r>
      <w:r w:rsidR="00D90691">
        <w:rPr>
          <w:b w:val="0"/>
          <w:sz w:val="20"/>
          <w:szCs w:val="20"/>
        </w:rPr>
        <w:t xml:space="preserve">.   </w:t>
      </w:r>
      <w:r w:rsidR="004A1F61">
        <w:rPr>
          <w:b w:val="0"/>
          <w:sz w:val="20"/>
          <w:szCs w:val="20"/>
        </w:rPr>
        <w:t xml:space="preserve"> </w:t>
      </w:r>
    </w:p>
    <w:p w14:paraId="53FA7B0B" w14:textId="77777777" w:rsidR="007202E3" w:rsidRDefault="007202E3" w:rsidP="00A513B0">
      <w:pPr>
        <w:pStyle w:val="SUBHEAD1PAPERSUMMARY"/>
      </w:pPr>
    </w:p>
    <w:p w14:paraId="067CCE78" w14:textId="0CA0F936" w:rsidR="00060549" w:rsidRDefault="00463BF4" w:rsidP="00372803">
      <w:pPr>
        <w:pStyle w:val="SUBHEAD2PAPERSUMMARY"/>
        <w:rPr>
          <w:b w:val="0"/>
          <w:sz w:val="20"/>
          <w:szCs w:val="20"/>
        </w:rPr>
      </w:pPr>
      <w:r>
        <w:rPr>
          <w:b w:val="0"/>
          <w:sz w:val="20"/>
          <w:szCs w:val="20"/>
        </w:rPr>
        <w:t>After</w:t>
      </w:r>
      <w:r w:rsidR="001F52D0">
        <w:rPr>
          <w:b w:val="0"/>
          <w:sz w:val="20"/>
          <w:szCs w:val="20"/>
        </w:rPr>
        <w:t xml:space="preserve"> receipt of the</w:t>
      </w:r>
      <w:r w:rsidR="00A616CD">
        <w:rPr>
          <w:b w:val="0"/>
          <w:sz w:val="20"/>
          <w:szCs w:val="20"/>
        </w:rPr>
        <w:t xml:space="preserve"> full panel set of 87 flaws </w:t>
      </w:r>
      <w:r w:rsidR="001F52D0">
        <w:rPr>
          <w:b w:val="0"/>
          <w:sz w:val="20"/>
          <w:szCs w:val="20"/>
        </w:rPr>
        <w:t>on 52 panels, the team considered alternative</w:t>
      </w:r>
      <w:r>
        <w:rPr>
          <w:b w:val="0"/>
          <w:sz w:val="20"/>
          <w:szCs w:val="20"/>
        </w:rPr>
        <w:t>s</w:t>
      </w:r>
      <w:r w:rsidR="001F52D0">
        <w:rPr>
          <w:b w:val="0"/>
          <w:sz w:val="20"/>
          <w:szCs w:val="20"/>
        </w:rPr>
        <w:t xml:space="preserve"> for use of the surplus samples. Two statistically equivalent </w:t>
      </w:r>
      <w:r w:rsidR="00D409F2">
        <w:rPr>
          <w:b w:val="0"/>
          <w:sz w:val="20"/>
          <w:szCs w:val="20"/>
        </w:rPr>
        <w:t xml:space="preserve">(Log-rank test, p-value = 0.924) </w:t>
      </w:r>
      <w:r w:rsidR="001F52D0">
        <w:rPr>
          <w:b w:val="0"/>
          <w:sz w:val="20"/>
          <w:szCs w:val="20"/>
        </w:rPr>
        <w:t xml:space="preserve">overlapping subsets were developed, each consisting of 72 flaws on 40 panels. Approximately 75% of the set is common to both subsets, with the remaining 25% assigned to one set only. </w:t>
      </w:r>
      <w:r>
        <w:rPr>
          <w:b w:val="0"/>
          <w:sz w:val="20"/>
          <w:szCs w:val="20"/>
        </w:rPr>
        <w:t xml:space="preserve">Time expended on conducting the test is driven by the number of panels, but the width of the confidence bounds is driven by a combination of inspector capability and the number of sample flaws in the demonstration test population. </w:t>
      </w:r>
      <w:r w:rsidR="003A22D0">
        <w:rPr>
          <w:b w:val="0"/>
          <w:sz w:val="20"/>
          <w:szCs w:val="20"/>
        </w:rPr>
        <w:t>Given</w:t>
      </w:r>
      <w:r w:rsidR="00FC5C56">
        <w:rPr>
          <w:b w:val="0"/>
          <w:sz w:val="20"/>
          <w:szCs w:val="20"/>
        </w:rPr>
        <w:t xml:space="preserve"> the same inspector capability, </w:t>
      </w:r>
      <w:r w:rsidR="003A22D0">
        <w:rPr>
          <w:b w:val="0"/>
          <w:sz w:val="20"/>
          <w:szCs w:val="20"/>
        </w:rPr>
        <w:t xml:space="preserve">having </w:t>
      </w:r>
      <w:r w:rsidR="00FC5C56">
        <w:rPr>
          <w:b w:val="0"/>
          <w:sz w:val="20"/>
          <w:szCs w:val="20"/>
        </w:rPr>
        <w:t>m</w:t>
      </w:r>
      <w:r>
        <w:rPr>
          <w:b w:val="0"/>
          <w:sz w:val="20"/>
          <w:szCs w:val="20"/>
        </w:rPr>
        <w:t xml:space="preserve">ore flaws </w:t>
      </w:r>
      <w:r w:rsidR="003A22D0">
        <w:rPr>
          <w:b w:val="0"/>
          <w:sz w:val="20"/>
          <w:szCs w:val="20"/>
        </w:rPr>
        <w:t>produces</w:t>
      </w:r>
      <w:r>
        <w:rPr>
          <w:b w:val="0"/>
          <w:sz w:val="20"/>
          <w:szCs w:val="20"/>
        </w:rPr>
        <w:t xml:space="preserve"> </w:t>
      </w:r>
      <w:r w:rsidR="003A22D0">
        <w:rPr>
          <w:b w:val="0"/>
          <w:sz w:val="20"/>
          <w:szCs w:val="20"/>
        </w:rPr>
        <w:t>a tighter</w:t>
      </w:r>
      <w:r>
        <w:rPr>
          <w:b w:val="0"/>
          <w:sz w:val="20"/>
          <w:szCs w:val="20"/>
        </w:rPr>
        <w:t xml:space="preserve"> confidence limit</w:t>
      </w:r>
      <w:r w:rsidR="00FC5C56">
        <w:rPr>
          <w:b w:val="0"/>
          <w:sz w:val="20"/>
          <w:szCs w:val="20"/>
        </w:rPr>
        <w:t>.</w:t>
      </w:r>
      <w:r>
        <w:rPr>
          <w:b w:val="0"/>
          <w:sz w:val="20"/>
          <w:szCs w:val="20"/>
        </w:rPr>
        <w:t xml:space="preserve"> Development of the smaller panel subsets also enabled further modification</w:t>
      </w:r>
      <w:r w:rsidR="008C526F">
        <w:rPr>
          <w:b w:val="0"/>
          <w:sz w:val="20"/>
          <w:szCs w:val="20"/>
        </w:rPr>
        <w:t>s to</w:t>
      </w:r>
      <w:r>
        <w:rPr>
          <w:b w:val="0"/>
          <w:sz w:val="20"/>
          <w:szCs w:val="20"/>
        </w:rPr>
        <w:t xml:space="preserve"> the flaw distribution</w:t>
      </w:r>
      <w:r w:rsidR="008C526F">
        <w:rPr>
          <w:b w:val="0"/>
          <w:sz w:val="20"/>
          <w:szCs w:val="20"/>
        </w:rPr>
        <w:t>. The final allocation was flatter and compensated for the bias toward s</w:t>
      </w:r>
      <w:r w:rsidR="00CA79A3">
        <w:rPr>
          <w:b w:val="0"/>
          <w:sz w:val="20"/>
          <w:szCs w:val="20"/>
        </w:rPr>
        <w:t>maller values in the full set, as shown in Table 1.</w:t>
      </w:r>
    </w:p>
    <w:p w14:paraId="1528A090" w14:textId="775C76E4" w:rsidR="001F52D0" w:rsidRDefault="001F52D0" w:rsidP="00372803">
      <w:pPr>
        <w:pStyle w:val="SUBHEAD2PAPERSUMMARY"/>
        <w:rPr>
          <w:b w:val="0"/>
          <w:sz w:val="20"/>
          <w:szCs w:val="20"/>
        </w:rPr>
      </w:pPr>
    </w:p>
    <w:p w14:paraId="524E1F35" w14:textId="7DF43899" w:rsidR="00060549" w:rsidRDefault="00060549" w:rsidP="00060549">
      <w:pPr>
        <w:pStyle w:val="CAPTIONSPAPERSUMMARY"/>
      </w:pPr>
      <w:r w:rsidRPr="00AA6170">
        <w:t xml:space="preserve">Table 1: </w:t>
      </w:r>
      <w:r w:rsidR="00CA79A3">
        <w:t>Panel set comparison shows increase in flaw density as flaw distributions were reallocated</w:t>
      </w:r>
      <w: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435"/>
        <w:gridCol w:w="1260"/>
        <w:gridCol w:w="1710"/>
        <w:gridCol w:w="1732"/>
        <w:gridCol w:w="1647"/>
        <w:gridCol w:w="1566"/>
      </w:tblGrid>
      <w:tr w:rsidR="00060549" w:rsidRPr="00B25046" w14:paraId="177EF5F5" w14:textId="77777777" w:rsidTr="002C30D6">
        <w:trPr>
          <w:trHeight w:val="432"/>
        </w:trPr>
        <w:tc>
          <w:tcPr>
            <w:tcW w:w="1435" w:type="dxa"/>
            <w:shd w:val="clear" w:color="auto" w:fill="auto"/>
            <w:vAlign w:val="center"/>
          </w:tcPr>
          <w:p w14:paraId="65F44098" w14:textId="2F417791" w:rsidR="00060549" w:rsidRPr="00B25046" w:rsidRDefault="00060549" w:rsidP="002C30D6">
            <w:pPr>
              <w:pStyle w:val="TABLETEXTPAPERSUMMARY"/>
            </w:pPr>
            <w:r>
              <w:t>Panel Set</w:t>
            </w:r>
          </w:p>
        </w:tc>
        <w:tc>
          <w:tcPr>
            <w:tcW w:w="1260" w:type="dxa"/>
            <w:vAlign w:val="center"/>
          </w:tcPr>
          <w:p w14:paraId="665EF908" w14:textId="77777777" w:rsidR="00060549" w:rsidRDefault="00060549" w:rsidP="002C30D6">
            <w:pPr>
              <w:pStyle w:val="TABLETEXTPAPERSUMMARY"/>
            </w:pPr>
            <w:r>
              <w:t>Flaw Count</w:t>
            </w:r>
          </w:p>
        </w:tc>
        <w:tc>
          <w:tcPr>
            <w:tcW w:w="1710" w:type="dxa"/>
            <w:shd w:val="clear" w:color="auto" w:fill="auto"/>
            <w:vAlign w:val="center"/>
          </w:tcPr>
          <w:p w14:paraId="6484A4BC" w14:textId="77777777" w:rsidR="00060549" w:rsidRPr="00B25046" w:rsidRDefault="00060549" w:rsidP="002C30D6">
            <w:pPr>
              <w:pStyle w:val="TABLETEXTPAPERSUMMARY"/>
            </w:pPr>
            <w:r>
              <w:t>Minimum</w:t>
            </w:r>
          </w:p>
        </w:tc>
        <w:tc>
          <w:tcPr>
            <w:tcW w:w="1732" w:type="dxa"/>
            <w:shd w:val="clear" w:color="auto" w:fill="auto"/>
            <w:vAlign w:val="center"/>
          </w:tcPr>
          <w:p w14:paraId="4FB0B1AA" w14:textId="77777777" w:rsidR="00060549" w:rsidRPr="00B25046" w:rsidRDefault="00060549" w:rsidP="002C30D6">
            <w:pPr>
              <w:pStyle w:val="TABLETEXTPAPERSUMMARY"/>
            </w:pPr>
            <w:r>
              <w:t>Median</w:t>
            </w:r>
          </w:p>
        </w:tc>
        <w:tc>
          <w:tcPr>
            <w:tcW w:w="1647" w:type="dxa"/>
            <w:shd w:val="clear" w:color="auto" w:fill="auto"/>
            <w:vAlign w:val="center"/>
          </w:tcPr>
          <w:p w14:paraId="489C99C7" w14:textId="77777777" w:rsidR="00060549" w:rsidRPr="00B25046" w:rsidRDefault="00060549" w:rsidP="002C30D6">
            <w:pPr>
              <w:pStyle w:val="TABLETEXTPAPERSUMMARY"/>
            </w:pPr>
            <w:r>
              <w:t>Maximum</w:t>
            </w:r>
          </w:p>
        </w:tc>
        <w:tc>
          <w:tcPr>
            <w:tcW w:w="1566" w:type="dxa"/>
            <w:shd w:val="clear" w:color="auto" w:fill="auto"/>
            <w:vAlign w:val="center"/>
          </w:tcPr>
          <w:p w14:paraId="3AC44B06" w14:textId="77777777" w:rsidR="00060549" w:rsidRPr="00B25046" w:rsidRDefault="00060549" w:rsidP="002C30D6">
            <w:pPr>
              <w:pStyle w:val="TABLETEXTPAPERSUMMARY"/>
            </w:pPr>
            <w:r>
              <w:t xml:space="preserve">Flaw Density </w:t>
            </w:r>
            <w:r w:rsidRPr="008D3B29">
              <w:rPr>
                <w:b w:val="0"/>
              </w:rPr>
              <w:t>(Count / Range)</w:t>
            </w:r>
          </w:p>
        </w:tc>
      </w:tr>
      <w:tr w:rsidR="00060549" w:rsidRPr="00B25046" w14:paraId="4D24E81F" w14:textId="77777777" w:rsidTr="002C30D6">
        <w:trPr>
          <w:trHeight w:val="432"/>
        </w:trPr>
        <w:tc>
          <w:tcPr>
            <w:tcW w:w="1435" w:type="dxa"/>
            <w:shd w:val="clear" w:color="auto" w:fill="auto"/>
            <w:vAlign w:val="center"/>
          </w:tcPr>
          <w:p w14:paraId="7CAE6422" w14:textId="77777777" w:rsidR="00060549" w:rsidRPr="00B25046" w:rsidRDefault="00060549" w:rsidP="002C30D6">
            <w:pPr>
              <w:pStyle w:val="TABLETEXTPAPERSUMMARY"/>
              <w:rPr>
                <w:b w:val="0"/>
              </w:rPr>
            </w:pPr>
            <w:r>
              <w:rPr>
                <w:b w:val="0"/>
              </w:rPr>
              <w:t xml:space="preserve">Legacy </w:t>
            </w:r>
          </w:p>
        </w:tc>
        <w:tc>
          <w:tcPr>
            <w:tcW w:w="1260" w:type="dxa"/>
            <w:vAlign w:val="center"/>
          </w:tcPr>
          <w:p w14:paraId="49446C07" w14:textId="77777777" w:rsidR="00060549" w:rsidRDefault="00060549" w:rsidP="002C30D6">
            <w:pPr>
              <w:pStyle w:val="TABLETEXTPAPERSUMMARY"/>
              <w:rPr>
                <w:b w:val="0"/>
              </w:rPr>
            </w:pPr>
            <w:r>
              <w:rPr>
                <w:b w:val="0"/>
              </w:rPr>
              <w:t xml:space="preserve">64 </w:t>
            </w:r>
            <w:r w:rsidRPr="008D3B29">
              <w:rPr>
                <w:b w:val="0"/>
              </w:rPr>
              <w:sym w:font="Wingdings" w:char="F0E0"/>
            </w:r>
            <w:r>
              <w:rPr>
                <w:b w:val="0"/>
              </w:rPr>
              <w:t xml:space="preserve"> 59</w:t>
            </w:r>
          </w:p>
        </w:tc>
        <w:tc>
          <w:tcPr>
            <w:tcW w:w="1710" w:type="dxa"/>
            <w:shd w:val="clear" w:color="auto" w:fill="auto"/>
            <w:vAlign w:val="center"/>
          </w:tcPr>
          <w:p w14:paraId="60F13629" w14:textId="77777777" w:rsidR="00060549" w:rsidRPr="00B25046" w:rsidRDefault="00060549" w:rsidP="002C30D6">
            <w:pPr>
              <w:pStyle w:val="TABLETEXTPAPERSUMMARY"/>
              <w:rPr>
                <w:b w:val="0"/>
              </w:rPr>
            </w:pPr>
            <w:r>
              <w:rPr>
                <w:b w:val="0"/>
              </w:rPr>
              <w:t>0.008 in</w:t>
            </w:r>
          </w:p>
        </w:tc>
        <w:tc>
          <w:tcPr>
            <w:tcW w:w="1732" w:type="dxa"/>
            <w:shd w:val="clear" w:color="auto" w:fill="auto"/>
            <w:vAlign w:val="center"/>
          </w:tcPr>
          <w:p w14:paraId="20B7B922" w14:textId="77777777" w:rsidR="00060549" w:rsidRPr="00B25046" w:rsidRDefault="00060549" w:rsidP="002C30D6">
            <w:pPr>
              <w:pStyle w:val="TABLETEXTPAPERSUMMARY"/>
              <w:rPr>
                <w:b w:val="0"/>
              </w:rPr>
            </w:pPr>
            <w:r>
              <w:rPr>
                <w:b w:val="0"/>
              </w:rPr>
              <w:t xml:space="preserve">0.069 </w:t>
            </w:r>
            <w:r w:rsidRPr="008D3B29">
              <w:rPr>
                <w:b w:val="0"/>
              </w:rPr>
              <w:sym w:font="Wingdings" w:char="F0E0"/>
            </w:r>
            <w:r>
              <w:rPr>
                <w:b w:val="0"/>
              </w:rPr>
              <w:t xml:space="preserve"> 0.067 in</w:t>
            </w:r>
          </w:p>
        </w:tc>
        <w:tc>
          <w:tcPr>
            <w:tcW w:w="1647" w:type="dxa"/>
            <w:shd w:val="clear" w:color="auto" w:fill="auto"/>
            <w:vAlign w:val="center"/>
          </w:tcPr>
          <w:p w14:paraId="434618F4" w14:textId="77777777" w:rsidR="00060549" w:rsidRPr="00B25046" w:rsidRDefault="00060549" w:rsidP="002C30D6">
            <w:pPr>
              <w:pStyle w:val="TABLETEXTPAPERSUMMARY"/>
              <w:rPr>
                <w:b w:val="0"/>
              </w:rPr>
            </w:pPr>
            <w:r>
              <w:rPr>
                <w:b w:val="0"/>
              </w:rPr>
              <w:t>0.417 in</w:t>
            </w:r>
          </w:p>
        </w:tc>
        <w:tc>
          <w:tcPr>
            <w:tcW w:w="1566" w:type="dxa"/>
            <w:shd w:val="clear" w:color="auto" w:fill="auto"/>
            <w:vAlign w:val="center"/>
          </w:tcPr>
          <w:p w14:paraId="73382D0B" w14:textId="77777777" w:rsidR="00060549" w:rsidRPr="00B25046" w:rsidRDefault="00060549" w:rsidP="002C30D6">
            <w:pPr>
              <w:pStyle w:val="TABLETEXTPAPERSUMMARY"/>
              <w:rPr>
                <w:b w:val="0"/>
              </w:rPr>
            </w:pPr>
            <w:r>
              <w:rPr>
                <w:b w:val="0"/>
              </w:rPr>
              <w:t xml:space="preserve">156 </w:t>
            </w:r>
            <w:r w:rsidRPr="008D3B29">
              <w:rPr>
                <w:b w:val="0"/>
              </w:rPr>
              <w:sym w:font="Wingdings" w:char="F0E0"/>
            </w:r>
            <w:r>
              <w:rPr>
                <w:b w:val="0"/>
              </w:rPr>
              <w:t xml:space="preserve"> 144</w:t>
            </w:r>
          </w:p>
        </w:tc>
      </w:tr>
      <w:tr w:rsidR="00060549" w:rsidRPr="00B25046" w14:paraId="7B054785" w14:textId="77777777" w:rsidTr="002C30D6">
        <w:trPr>
          <w:trHeight w:val="432"/>
        </w:trPr>
        <w:tc>
          <w:tcPr>
            <w:tcW w:w="1435" w:type="dxa"/>
            <w:shd w:val="clear" w:color="auto" w:fill="auto"/>
            <w:vAlign w:val="center"/>
          </w:tcPr>
          <w:p w14:paraId="1BE9C11C" w14:textId="77777777" w:rsidR="00060549" w:rsidRPr="00B25046" w:rsidRDefault="00060549" w:rsidP="002C30D6">
            <w:pPr>
              <w:pStyle w:val="TABLETEXTPAPERSUMMARY"/>
              <w:rPr>
                <w:b w:val="0"/>
              </w:rPr>
            </w:pPr>
            <w:r>
              <w:rPr>
                <w:b w:val="0"/>
              </w:rPr>
              <w:t xml:space="preserve">Full Set </w:t>
            </w:r>
          </w:p>
        </w:tc>
        <w:tc>
          <w:tcPr>
            <w:tcW w:w="1260" w:type="dxa"/>
            <w:vAlign w:val="center"/>
          </w:tcPr>
          <w:p w14:paraId="71A20C76" w14:textId="77777777" w:rsidR="00060549" w:rsidRDefault="00060549" w:rsidP="002C30D6">
            <w:pPr>
              <w:pStyle w:val="TABLETEXTPAPERSUMMARY"/>
              <w:rPr>
                <w:b w:val="0"/>
              </w:rPr>
            </w:pPr>
            <w:r>
              <w:rPr>
                <w:b w:val="0"/>
              </w:rPr>
              <w:t>87</w:t>
            </w:r>
          </w:p>
        </w:tc>
        <w:tc>
          <w:tcPr>
            <w:tcW w:w="1710" w:type="dxa"/>
            <w:shd w:val="clear" w:color="auto" w:fill="auto"/>
            <w:vAlign w:val="center"/>
          </w:tcPr>
          <w:p w14:paraId="70C4FB08" w14:textId="77777777" w:rsidR="00060549" w:rsidRPr="00B25046" w:rsidRDefault="00060549" w:rsidP="002C30D6">
            <w:pPr>
              <w:pStyle w:val="TABLETEXTPAPERSUMMARY"/>
              <w:rPr>
                <w:b w:val="0"/>
              </w:rPr>
            </w:pPr>
            <w:r>
              <w:rPr>
                <w:b w:val="0"/>
              </w:rPr>
              <w:t>0.006 in</w:t>
            </w:r>
          </w:p>
        </w:tc>
        <w:tc>
          <w:tcPr>
            <w:tcW w:w="1732" w:type="dxa"/>
            <w:shd w:val="clear" w:color="auto" w:fill="auto"/>
            <w:vAlign w:val="center"/>
          </w:tcPr>
          <w:p w14:paraId="4FDF5EF6" w14:textId="77777777" w:rsidR="00060549" w:rsidRPr="00B25046" w:rsidRDefault="00060549" w:rsidP="002C30D6">
            <w:pPr>
              <w:pStyle w:val="TABLETEXTPAPERSUMMARY"/>
              <w:rPr>
                <w:b w:val="0"/>
              </w:rPr>
            </w:pPr>
            <w:r>
              <w:rPr>
                <w:b w:val="0"/>
              </w:rPr>
              <w:t>0.036 in</w:t>
            </w:r>
          </w:p>
        </w:tc>
        <w:tc>
          <w:tcPr>
            <w:tcW w:w="1647" w:type="dxa"/>
            <w:shd w:val="clear" w:color="auto" w:fill="auto"/>
            <w:vAlign w:val="center"/>
          </w:tcPr>
          <w:p w14:paraId="474AE35A" w14:textId="77777777" w:rsidR="00060549" w:rsidRPr="00B25046" w:rsidRDefault="00060549" w:rsidP="002C30D6">
            <w:pPr>
              <w:pStyle w:val="TABLETEXTPAPERSUMMARY"/>
              <w:rPr>
                <w:b w:val="0"/>
              </w:rPr>
            </w:pPr>
            <w:r>
              <w:rPr>
                <w:b w:val="0"/>
              </w:rPr>
              <w:t>0.132 in</w:t>
            </w:r>
          </w:p>
        </w:tc>
        <w:tc>
          <w:tcPr>
            <w:tcW w:w="1566" w:type="dxa"/>
            <w:shd w:val="clear" w:color="auto" w:fill="auto"/>
            <w:vAlign w:val="center"/>
          </w:tcPr>
          <w:p w14:paraId="1F00C153" w14:textId="77777777" w:rsidR="00060549" w:rsidRPr="00B25046" w:rsidRDefault="00060549" w:rsidP="002C30D6">
            <w:pPr>
              <w:pStyle w:val="TABLETEXTPAPERSUMMARY"/>
              <w:rPr>
                <w:b w:val="0"/>
              </w:rPr>
            </w:pPr>
            <w:r>
              <w:rPr>
                <w:b w:val="0"/>
              </w:rPr>
              <w:t>690</w:t>
            </w:r>
          </w:p>
        </w:tc>
      </w:tr>
      <w:tr w:rsidR="00060549" w:rsidRPr="00B25046" w14:paraId="343ED46D" w14:textId="77777777" w:rsidTr="002C30D6">
        <w:trPr>
          <w:trHeight w:val="432"/>
        </w:trPr>
        <w:tc>
          <w:tcPr>
            <w:tcW w:w="1435" w:type="dxa"/>
            <w:shd w:val="clear" w:color="auto" w:fill="auto"/>
            <w:vAlign w:val="center"/>
          </w:tcPr>
          <w:p w14:paraId="1495A644" w14:textId="41DDF843" w:rsidR="00060549" w:rsidRPr="00B25046" w:rsidRDefault="00060549" w:rsidP="00CA79A3">
            <w:pPr>
              <w:pStyle w:val="TABLETEXTPAPERSUMMARY"/>
              <w:rPr>
                <w:b w:val="0"/>
              </w:rPr>
            </w:pPr>
            <w:r>
              <w:rPr>
                <w:b w:val="0"/>
              </w:rPr>
              <w:t>Subset</w:t>
            </w:r>
            <w:r w:rsidR="00CA79A3">
              <w:rPr>
                <w:b w:val="0"/>
              </w:rPr>
              <w:t>s</w:t>
            </w:r>
          </w:p>
        </w:tc>
        <w:tc>
          <w:tcPr>
            <w:tcW w:w="1260" w:type="dxa"/>
            <w:vAlign w:val="center"/>
          </w:tcPr>
          <w:p w14:paraId="4C183660" w14:textId="77777777" w:rsidR="00060549" w:rsidRDefault="00060549" w:rsidP="002C30D6">
            <w:pPr>
              <w:pStyle w:val="TABLETEXTPAPERSUMMARY"/>
              <w:rPr>
                <w:b w:val="0"/>
              </w:rPr>
            </w:pPr>
            <w:r>
              <w:rPr>
                <w:b w:val="0"/>
              </w:rPr>
              <w:t>72</w:t>
            </w:r>
          </w:p>
        </w:tc>
        <w:tc>
          <w:tcPr>
            <w:tcW w:w="1710" w:type="dxa"/>
            <w:shd w:val="clear" w:color="auto" w:fill="auto"/>
            <w:vAlign w:val="center"/>
          </w:tcPr>
          <w:p w14:paraId="57EAD924" w14:textId="77777777" w:rsidR="00060549" w:rsidRPr="00B25046" w:rsidRDefault="00060549" w:rsidP="002C30D6">
            <w:pPr>
              <w:pStyle w:val="TABLETEXTPAPERSUMMARY"/>
              <w:rPr>
                <w:b w:val="0"/>
              </w:rPr>
            </w:pPr>
            <w:r>
              <w:rPr>
                <w:b w:val="0"/>
              </w:rPr>
              <w:t>0.010 in</w:t>
            </w:r>
          </w:p>
        </w:tc>
        <w:tc>
          <w:tcPr>
            <w:tcW w:w="1732" w:type="dxa"/>
            <w:shd w:val="clear" w:color="auto" w:fill="auto"/>
            <w:vAlign w:val="center"/>
          </w:tcPr>
          <w:p w14:paraId="679912DE" w14:textId="77777777" w:rsidR="00060549" w:rsidRPr="00B25046" w:rsidRDefault="00060549" w:rsidP="002C30D6">
            <w:pPr>
              <w:pStyle w:val="TABLETEXTPAPERSUMMARY"/>
              <w:rPr>
                <w:b w:val="0"/>
              </w:rPr>
            </w:pPr>
            <w:r>
              <w:rPr>
                <w:b w:val="0"/>
              </w:rPr>
              <w:t>0.048 in</w:t>
            </w:r>
          </w:p>
        </w:tc>
        <w:tc>
          <w:tcPr>
            <w:tcW w:w="1647" w:type="dxa"/>
            <w:shd w:val="clear" w:color="auto" w:fill="auto"/>
            <w:vAlign w:val="center"/>
          </w:tcPr>
          <w:p w14:paraId="7675B1DA" w14:textId="77777777" w:rsidR="00060549" w:rsidRPr="00B25046" w:rsidRDefault="00060549" w:rsidP="002C30D6">
            <w:pPr>
              <w:pStyle w:val="TABLETEXTPAPERSUMMARY"/>
              <w:rPr>
                <w:b w:val="0"/>
              </w:rPr>
            </w:pPr>
            <w:r>
              <w:rPr>
                <w:b w:val="0"/>
              </w:rPr>
              <w:t>0.132 in</w:t>
            </w:r>
          </w:p>
        </w:tc>
        <w:tc>
          <w:tcPr>
            <w:tcW w:w="1566" w:type="dxa"/>
            <w:shd w:val="clear" w:color="auto" w:fill="auto"/>
            <w:vAlign w:val="center"/>
          </w:tcPr>
          <w:p w14:paraId="1C34E4EB" w14:textId="77777777" w:rsidR="00060549" w:rsidRPr="00B25046" w:rsidRDefault="00060549" w:rsidP="002C30D6">
            <w:pPr>
              <w:pStyle w:val="TABLETEXTPAPERSUMMARY"/>
              <w:rPr>
                <w:b w:val="0"/>
              </w:rPr>
            </w:pPr>
            <w:r>
              <w:rPr>
                <w:b w:val="0"/>
              </w:rPr>
              <w:t>590</w:t>
            </w:r>
          </w:p>
        </w:tc>
      </w:tr>
    </w:tbl>
    <w:p w14:paraId="69683741" w14:textId="77777777" w:rsidR="00060549" w:rsidRDefault="00060549" w:rsidP="00060549">
      <w:pPr>
        <w:pStyle w:val="CAPTIONSPAPERSUMMARY"/>
        <w:rPr>
          <w:b w:val="0"/>
        </w:rPr>
      </w:pPr>
    </w:p>
    <w:p w14:paraId="477826C7" w14:textId="662C34D2" w:rsidR="008C526F" w:rsidRPr="008C526F" w:rsidRDefault="008C526F" w:rsidP="00372803">
      <w:pPr>
        <w:pStyle w:val="SUBHEAD2PAPERSUMMARY"/>
      </w:pPr>
      <w:r>
        <w:t>IMPLEMENTATION AND DEPLOYMENT</w:t>
      </w:r>
    </w:p>
    <w:p w14:paraId="3BF5F504" w14:textId="3F9A74B9" w:rsidR="00F92842" w:rsidRDefault="001F52D0" w:rsidP="00BF53BA">
      <w:pPr>
        <w:pStyle w:val="SUBHEAD2PAPERSUMMARY"/>
      </w:pPr>
      <w:r>
        <w:rPr>
          <w:b w:val="0"/>
          <w:sz w:val="20"/>
          <w:szCs w:val="20"/>
        </w:rPr>
        <w:t>The new panel subsets were deployed in June 2021 and as of February 2024 have been used for nearly 50 demonstration tests</w:t>
      </w:r>
      <w:r w:rsidR="008C526F">
        <w:rPr>
          <w:b w:val="0"/>
          <w:sz w:val="20"/>
          <w:szCs w:val="20"/>
        </w:rPr>
        <w:t xml:space="preserve"> to date</w:t>
      </w:r>
      <w:r>
        <w:rPr>
          <w:b w:val="0"/>
          <w:sz w:val="20"/>
          <w:szCs w:val="20"/>
        </w:rPr>
        <w:t xml:space="preserve">, both </w:t>
      </w:r>
      <w:r w:rsidR="00187AB5">
        <w:rPr>
          <w:b w:val="0"/>
          <w:sz w:val="20"/>
          <w:szCs w:val="20"/>
        </w:rPr>
        <w:t>in-house</w:t>
      </w:r>
      <w:r>
        <w:rPr>
          <w:b w:val="0"/>
          <w:sz w:val="20"/>
          <w:szCs w:val="20"/>
        </w:rPr>
        <w:t xml:space="preserve"> and at </w:t>
      </w:r>
      <w:r w:rsidR="00CA79A3">
        <w:rPr>
          <w:b w:val="0"/>
          <w:sz w:val="20"/>
          <w:szCs w:val="20"/>
        </w:rPr>
        <w:t xml:space="preserve">multiple </w:t>
      </w:r>
      <w:r>
        <w:rPr>
          <w:b w:val="0"/>
          <w:sz w:val="20"/>
          <w:szCs w:val="20"/>
        </w:rPr>
        <w:t>vendors. Neither subset has experienced any converg</w:t>
      </w:r>
      <w:r w:rsidR="00D409F2">
        <w:rPr>
          <w:b w:val="0"/>
          <w:sz w:val="20"/>
          <w:szCs w:val="20"/>
        </w:rPr>
        <w:t xml:space="preserve">ence issues in obtaining </w:t>
      </w:r>
      <w:r w:rsidR="008C526F">
        <w:rPr>
          <w:b w:val="0"/>
          <w:sz w:val="20"/>
          <w:szCs w:val="20"/>
        </w:rPr>
        <w:t>a valid fit to the logistic regression.</w:t>
      </w:r>
      <w:r>
        <w:rPr>
          <w:b w:val="0"/>
          <w:sz w:val="20"/>
          <w:szCs w:val="20"/>
        </w:rPr>
        <w:t xml:space="preserve"> </w:t>
      </w:r>
      <w:r w:rsidR="00D21C0C">
        <w:rPr>
          <w:b w:val="0"/>
          <w:sz w:val="20"/>
          <w:szCs w:val="20"/>
        </w:rPr>
        <w:t>Only a few inspectors have been tested on both the legacy set and the new subsets to date, but scores are internally consistent</w:t>
      </w:r>
      <w:r w:rsidR="00C913B9">
        <w:rPr>
          <w:b w:val="0"/>
          <w:sz w:val="20"/>
          <w:szCs w:val="20"/>
        </w:rPr>
        <w:t xml:space="preserve"> without making adjustments due to experience</w:t>
      </w:r>
      <w:r w:rsidR="00D21C0C">
        <w:rPr>
          <w:b w:val="0"/>
          <w:sz w:val="20"/>
          <w:szCs w:val="20"/>
        </w:rPr>
        <w:t xml:space="preserve"> and do not suggest that any </w:t>
      </w:r>
      <w:r w:rsidR="00B14AF4">
        <w:rPr>
          <w:b w:val="0"/>
          <w:sz w:val="20"/>
          <w:szCs w:val="20"/>
        </w:rPr>
        <w:t>notable</w:t>
      </w:r>
      <w:r w:rsidR="00D21C0C">
        <w:rPr>
          <w:b w:val="0"/>
          <w:sz w:val="20"/>
          <w:szCs w:val="20"/>
        </w:rPr>
        <w:t xml:space="preserve"> bias </w:t>
      </w:r>
      <w:r w:rsidR="00DF0980">
        <w:rPr>
          <w:b w:val="0"/>
          <w:sz w:val="20"/>
          <w:szCs w:val="20"/>
        </w:rPr>
        <w:t xml:space="preserve">is present </w:t>
      </w:r>
      <w:r w:rsidR="00D21C0C">
        <w:rPr>
          <w:b w:val="0"/>
          <w:sz w:val="20"/>
          <w:szCs w:val="20"/>
        </w:rPr>
        <w:t xml:space="preserve">due to the change in the flaw mode of generation. </w:t>
      </w:r>
      <w:r w:rsidR="00BF53BA">
        <w:rPr>
          <w:b w:val="0"/>
          <w:sz w:val="20"/>
          <w:szCs w:val="20"/>
        </w:rPr>
        <w:t xml:space="preserve">A longer-term objective of this project is to use the new data collected for panel </w:t>
      </w:r>
      <w:r w:rsidR="00831D40">
        <w:rPr>
          <w:b w:val="0"/>
          <w:sz w:val="20"/>
          <w:szCs w:val="20"/>
        </w:rPr>
        <w:t xml:space="preserve">set </w:t>
      </w:r>
      <w:r w:rsidR="00BF53BA">
        <w:rPr>
          <w:b w:val="0"/>
          <w:sz w:val="20"/>
          <w:szCs w:val="20"/>
        </w:rPr>
        <w:t>health monitoring</w:t>
      </w:r>
      <w:r w:rsidR="00831D40">
        <w:rPr>
          <w:b w:val="0"/>
          <w:sz w:val="20"/>
          <w:szCs w:val="20"/>
        </w:rPr>
        <w:t xml:space="preserve">, in order to identify flaws </w:t>
      </w:r>
      <w:r w:rsidR="00187AB5">
        <w:rPr>
          <w:b w:val="0"/>
          <w:sz w:val="20"/>
          <w:szCs w:val="20"/>
        </w:rPr>
        <w:t xml:space="preserve">that </w:t>
      </w:r>
      <w:r w:rsidR="00831D40">
        <w:rPr>
          <w:b w:val="0"/>
          <w:sz w:val="20"/>
          <w:szCs w:val="20"/>
        </w:rPr>
        <w:t>may be chang</w:t>
      </w:r>
      <w:r w:rsidR="00187AB5">
        <w:rPr>
          <w:b w:val="0"/>
          <w:sz w:val="20"/>
          <w:szCs w:val="20"/>
        </w:rPr>
        <w:t>e</w:t>
      </w:r>
      <w:r w:rsidR="00831D40">
        <w:rPr>
          <w:b w:val="0"/>
          <w:sz w:val="20"/>
          <w:szCs w:val="20"/>
        </w:rPr>
        <w:t xml:space="preserve"> over time, as has been seen in other legacy panel sets</w:t>
      </w:r>
      <w:r w:rsidR="00BF53BA">
        <w:rPr>
          <w:b w:val="0"/>
          <w:sz w:val="20"/>
          <w:szCs w:val="20"/>
        </w:rPr>
        <w:t xml:space="preserve">. A </w:t>
      </w:r>
      <w:r w:rsidR="007202E3">
        <w:rPr>
          <w:b w:val="0"/>
          <w:sz w:val="20"/>
          <w:szCs w:val="20"/>
        </w:rPr>
        <w:t>database is in development</w:t>
      </w:r>
      <w:r w:rsidR="00BF53BA">
        <w:rPr>
          <w:b w:val="0"/>
          <w:sz w:val="20"/>
          <w:szCs w:val="20"/>
        </w:rPr>
        <w:t xml:space="preserve"> to serve both as a data repository and facilitate future decision-making</w:t>
      </w:r>
      <w:r w:rsidR="00831D40">
        <w:rPr>
          <w:b w:val="0"/>
          <w:sz w:val="20"/>
          <w:szCs w:val="20"/>
        </w:rPr>
        <w:t xml:space="preserve">. </w:t>
      </w:r>
    </w:p>
    <w:p w14:paraId="3C9E508D" w14:textId="2084F915" w:rsidR="00B12DEB" w:rsidRDefault="00B12DEB" w:rsidP="008B0A0A">
      <w:pPr>
        <w:pStyle w:val="BODYTEXTPAPERSUMMARY"/>
        <w:rPr>
          <w:color w:val="0000FF"/>
        </w:rPr>
      </w:pPr>
    </w:p>
    <w:p w14:paraId="243E3CD3" w14:textId="77777777" w:rsidR="000612EB" w:rsidRPr="005B0798" w:rsidRDefault="000612EB" w:rsidP="000612EB">
      <w:pPr>
        <w:pStyle w:val="SUBHEAD1PAPERSUMMARY"/>
      </w:pPr>
      <w:r>
        <w:t>SUMMARY</w:t>
      </w:r>
    </w:p>
    <w:p w14:paraId="7874C8D1" w14:textId="22AF9F51" w:rsidR="009A53C4" w:rsidRDefault="00831D40" w:rsidP="000612EB">
      <w:pPr>
        <w:pStyle w:val="BODYTEXTPAPERSUMMARY"/>
      </w:pPr>
      <w:r>
        <w:t>The RS-25 program relies on NDE processes for acceptance</w:t>
      </w:r>
      <w:r w:rsidR="009A53C4">
        <w:t xml:space="preserve"> of flight-critical hardware</w:t>
      </w:r>
      <w:r>
        <w:t xml:space="preserve">. </w:t>
      </w:r>
      <w:r w:rsidR="000612EB" w:rsidRPr="009A53C4">
        <w:t>Getting the new</w:t>
      </w:r>
      <w:r w:rsidR="00DB0F3B">
        <w:t xml:space="preserve"> FPI POD</w:t>
      </w:r>
      <w:r w:rsidR="000612EB" w:rsidRPr="009A53C4">
        <w:t xml:space="preserve"> panel set defined and qualified was crucially important to qualify</w:t>
      </w:r>
      <w:r w:rsidR="009A53C4" w:rsidRPr="009A53C4">
        <w:t>ing</w:t>
      </w:r>
      <w:r w:rsidR="000612EB" w:rsidRPr="009A53C4">
        <w:t xml:space="preserve"> </w:t>
      </w:r>
      <w:r w:rsidR="009A53C4" w:rsidRPr="009A53C4">
        <w:t xml:space="preserve">both </w:t>
      </w:r>
      <w:r w:rsidR="009A53C4">
        <w:t xml:space="preserve">AR and supplier FPI inspectors and came at a critical time for the program, since continued use of the legacy panel set was no longer viable. </w:t>
      </w:r>
      <w:r w:rsidR="00DB0F3B">
        <w:t>R</w:t>
      </w:r>
      <w:r w:rsidR="009A53C4">
        <w:t>eplac</w:t>
      </w:r>
      <w:r w:rsidR="00433BCD">
        <w:t>ing</w:t>
      </w:r>
      <w:r w:rsidR="009A53C4">
        <w:t xml:space="preserve"> the legacy set with a more robust version positioned the program to </w:t>
      </w:r>
      <w:r w:rsidR="00DB0F3B">
        <w:t xml:space="preserve">better support </w:t>
      </w:r>
      <w:r w:rsidR="009A53C4">
        <w:t xml:space="preserve">NDE work for decades to come. </w:t>
      </w:r>
      <w:r w:rsidR="006C5CEE">
        <w:t xml:space="preserve">Using the </w:t>
      </w:r>
      <w:r w:rsidR="00433BCD">
        <w:t>B</w:t>
      </w:r>
      <w:r w:rsidR="006C5CEE">
        <w:t>eta distribution for characterizing the flaw distribution provide</w:t>
      </w:r>
      <w:r w:rsidR="00433BCD">
        <w:t>s</w:t>
      </w:r>
      <w:r w:rsidR="006C5CEE">
        <w:t xml:space="preserve"> a more flexible mathematical framework for investigating </w:t>
      </w:r>
      <w:r w:rsidR="00433BCD">
        <w:t xml:space="preserve">subtle </w:t>
      </w:r>
      <w:r w:rsidR="006C5CEE">
        <w:t xml:space="preserve">differences between panel set options. Likewise, the flaw density metric provides a simple and intuitive measure for characterization of overall panel set quality that is independent of inspector capability. </w:t>
      </w:r>
    </w:p>
    <w:p w14:paraId="49EEA956" w14:textId="77777777" w:rsidR="000612EB" w:rsidRDefault="000612EB" w:rsidP="000612EB">
      <w:pPr>
        <w:pStyle w:val="SUBHEAD1PAPERSUMMARY"/>
      </w:pPr>
      <w:r>
        <w:lastRenderedPageBreak/>
        <w:t>ACKNOWLEDGEMENTS</w:t>
      </w:r>
    </w:p>
    <w:p w14:paraId="72A1F3B4" w14:textId="14A8CFAE" w:rsidR="000612EB" w:rsidRDefault="000612EB" w:rsidP="00831D40">
      <w:pPr>
        <w:pStyle w:val="BODYTEXTPAPERSUMMARY"/>
      </w:pPr>
      <w:r>
        <w:t>This project was the work of a team led by NDE specialists Fred “</w:t>
      </w:r>
      <w:proofErr w:type="spellStart"/>
      <w:r>
        <w:t>Kon</w:t>
      </w:r>
      <w:proofErr w:type="spellEnd"/>
      <w:r>
        <w:t xml:space="preserve">” </w:t>
      </w:r>
      <w:proofErr w:type="spellStart"/>
      <w:r>
        <w:t>Haake</w:t>
      </w:r>
      <w:proofErr w:type="spellEnd"/>
      <w:r>
        <w:t xml:space="preserve"> (retired) and Jeffrey Ragonese, QA, with support from David </w:t>
      </w:r>
      <w:proofErr w:type="spellStart"/>
      <w:r>
        <w:t>Erling</w:t>
      </w:r>
      <w:proofErr w:type="spellEnd"/>
      <w:r>
        <w:t xml:space="preserve"> and Frederick </w:t>
      </w:r>
      <w:proofErr w:type="spellStart"/>
      <w:r>
        <w:t>Batignani</w:t>
      </w:r>
      <w:proofErr w:type="spellEnd"/>
      <w:r>
        <w:t>, NDE (retired); Jesse Harris, MPE Lab; and Justin Zwolski, Statistics. Also thanks to Fredrick M. Whitman, RS-25 program manager, whose support was instrumental</w:t>
      </w:r>
      <w:r w:rsidR="00831D40">
        <w:t xml:space="preserve"> in working through this process</w:t>
      </w:r>
      <w:r>
        <w:t>.</w:t>
      </w:r>
    </w:p>
    <w:p w14:paraId="45E05376" w14:textId="34CAE871" w:rsidR="000612EB" w:rsidRDefault="000612EB" w:rsidP="00A513B0">
      <w:pPr>
        <w:pStyle w:val="SUBHEAD1PAPERSUMMARY"/>
      </w:pPr>
    </w:p>
    <w:p w14:paraId="57C3CAA0" w14:textId="77777777" w:rsidR="00831D40" w:rsidRDefault="00831D40" w:rsidP="00831D40">
      <w:pPr>
        <w:pStyle w:val="SUBHEAD1PAPERSUMMARY"/>
      </w:pPr>
      <w:r>
        <w:t>REFERENCES</w:t>
      </w:r>
    </w:p>
    <w:p w14:paraId="0D414733" w14:textId="77777777" w:rsidR="00831D40" w:rsidRDefault="00831D40" w:rsidP="00831D40">
      <w:pPr>
        <w:pStyle w:val="BODYTEXTPAPERSUMMARY"/>
        <w:numPr>
          <w:ilvl w:val="0"/>
          <w:numId w:val="5"/>
        </w:numPr>
      </w:pPr>
      <w:r>
        <w:t>National Aeronautics and Space Administration, 2024, “</w:t>
      </w:r>
      <w:r w:rsidRPr="00243D71">
        <w:t>Space Launch System RS-25 Core Stage Engine</w:t>
      </w:r>
      <w:r>
        <w:t xml:space="preserve"> – Powering America’s Exploration of Deep Space: The Engines </w:t>
      </w:r>
      <w:proofErr w:type="gramStart"/>
      <w:r>
        <w:t>Behind</w:t>
      </w:r>
      <w:proofErr w:type="gramEnd"/>
      <w:r>
        <w:t xml:space="preserve"> NASA’s Space Launch System”, from </w:t>
      </w:r>
      <w:hyperlink r:id="rId11" w:history="1">
        <w:r w:rsidRPr="00354E5B">
          <w:rPr>
            <w:rStyle w:val="Hyperlink"/>
          </w:rPr>
          <w:t>https://www.nasa.gov/reference/space-launch-system-rs-25-core-stage-engine/</w:t>
        </w:r>
      </w:hyperlink>
      <w:r>
        <w:t xml:space="preserve"> (accessed 1/18/2024).</w:t>
      </w:r>
    </w:p>
    <w:p w14:paraId="1C5538A9" w14:textId="77777777" w:rsidR="00831D40" w:rsidRDefault="00831D40" w:rsidP="00831D40">
      <w:pPr>
        <w:pStyle w:val="BODYTEXTPAPERSUMMARY"/>
        <w:numPr>
          <w:ilvl w:val="0"/>
          <w:numId w:val="5"/>
        </w:numPr>
      </w:pPr>
      <w:r>
        <w:t>Aerojet Rocketdyne, 2024, “</w:t>
      </w:r>
      <w:r w:rsidRPr="00B762D6">
        <w:t>RS-25 Engine | L3Harris® Fast. Forward</w:t>
      </w:r>
      <w:r>
        <w:t xml:space="preserve">,” from </w:t>
      </w:r>
      <w:hyperlink r:id="rId12" w:history="1">
        <w:r w:rsidRPr="003B5D28">
          <w:rPr>
            <w:rStyle w:val="Hyperlink"/>
          </w:rPr>
          <w:t>https://www.l3harris.com/all-capabilities/rs-25-engine</w:t>
        </w:r>
      </w:hyperlink>
      <w:r>
        <w:t xml:space="preserve"> (accessed 1/28/2024).</w:t>
      </w:r>
    </w:p>
    <w:p w14:paraId="0C6B69AA" w14:textId="77777777" w:rsidR="00831D40" w:rsidRDefault="00831D40" w:rsidP="00831D40">
      <w:pPr>
        <w:pStyle w:val="BODYTEXTPAPERSUMMARY"/>
        <w:numPr>
          <w:ilvl w:val="0"/>
          <w:numId w:val="5"/>
        </w:numPr>
      </w:pPr>
      <w:r>
        <w:t xml:space="preserve">National Aeronautics and Space Administration, 2020, “Fracture Control Requirements for Spaceflight Hardware,” NASA-STD-5019A w/Change 3 revalidation with editorial /administrative changes, from </w:t>
      </w:r>
      <w:hyperlink r:id="rId13" w:history="1">
        <w:r w:rsidRPr="00AA0D63">
          <w:rPr>
            <w:rStyle w:val="Hyperlink"/>
          </w:rPr>
          <w:t>https://standards.nasa.gov/standard/NASA/NASA-STD-5019</w:t>
        </w:r>
      </w:hyperlink>
      <w:r>
        <w:t xml:space="preserve"> (accessed 1/29/24).</w:t>
      </w:r>
    </w:p>
    <w:p w14:paraId="0FC15010" w14:textId="77777777" w:rsidR="00831D40" w:rsidRDefault="00831D40" w:rsidP="00831D40">
      <w:pPr>
        <w:pStyle w:val="BODYTEXTPAPERSUMMARY"/>
        <w:numPr>
          <w:ilvl w:val="0"/>
          <w:numId w:val="5"/>
        </w:numPr>
      </w:pPr>
      <w:r>
        <w:t xml:space="preserve">National Aeronautics and Space Administration, 2023, “Nondestructive Evaluation Requirements for Fracture-Critical Metallic Components,” NASA-STD-5009C, from </w:t>
      </w:r>
      <w:hyperlink r:id="rId14" w:history="1">
        <w:r w:rsidRPr="00AA0D63">
          <w:rPr>
            <w:rStyle w:val="Hyperlink"/>
          </w:rPr>
          <w:t>https://standards.nasa.gov/standard/NASA/NASA-STD-5009</w:t>
        </w:r>
      </w:hyperlink>
      <w:r>
        <w:t xml:space="preserve"> (accessed 1/29/24).</w:t>
      </w:r>
    </w:p>
    <w:p w14:paraId="06293D39" w14:textId="77777777" w:rsidR="00831D40" w:rsidRDefault="00831D40" w:rsidP="00831D40">
      <w:pPr>
        <w:pStyle w:val="BODYTEXTPAPERSUMMARY"/>
        <w:numPr>
          <w:ilvl w:val="0"/>
          <w:numId w:val="5"/>
        </w:numPr>
      </w:pPr>
      <w:r>
        <w:t>Department of Defense (DOD), 2009, “Nondestructive Evaluation System Reliability Assessment,” MIL-HDBK-1823A.</w:t>
      </w:r>
    </w:p>
    <w:p w14:paraId="771E6B27" w14:textId="77777777" w:rsidR="00831D40" w:rsidRDefault="00831D40" w:rsidP="00831D40">
      <w:pPr>
        <w:pStyle w:val="BODYTEXTPAPERSUMMARY"/>
        <w:numPr>
          <w:ilvl w:val="0"/>
          <w:numId w:val="5"/>
        </w:numPr>
      </w:pPr>
      <w:proofErr w:type="spellStart"/>
      <w:r>
        <w:t>Agresti</w:t>
      </w:r>
      <w:proofErr w:type="spellEnd"/>
      <w:r>
        <w:t xml:space="preserve">, A., 1990, </w:t>
      </w:r>
      <w:r w:rsidRPr="005842E2">
        <w:rPr>
          <w:i/>
        </w:rPr>
        <w:t>Categorical Data Analysis</w:t>
      </w:r>
      <w:r>
        <w:t>, 1</w:t>
      </w:r>
      <w:r w:rsidRPr="0028037D">
        <w:rPr>
          <w:vertAlign w:val="superscript"/>
        </w:rPr>
        <w:t>st</w:t>
      </w:r>
      <w:r>
        <w:t xml:space="preserve"> ed. Wiley Series in Probability and Mathematical Statistics, Wiley-</w:t>
      </w:r>
      <w:proofErr w:type="spellStart"/>
      <w:r>
        <w:t>Interscience</w:t>
      </w:r>
      <w:proofErr w:type="spellEnd"/>
      <w:r>
        <w:t>, New York.</w:t>
      </w:r>
    </w:p>
    <w:p w14:paraId="6501A0E4" w14:textId="77777777" w:rsidR="00831D40" w:rsidRDefault="00831D40" w:rsidP="00831D40">
      <w:pPr>
        <w:pStyle w:val="BODYTEXTPAPERSUMMARY"/>
        <w:numPr>
          <w:ilvl w:val="0"/>
          <w:numId w:val="5"/>
        </w:numPr>
      </w:pPr>
      <w:r>
        <w:t xml:space="preserve">Casella, G., and R.L. Berger, 1990, </w:t>
      </w:r>
      <w:r w:rsidRPr="00FE0CC4">
        <w:rPr>
          <w:i/>
        </w:rPr>
        <w:t>Statistical Inference</w:t>
      </w:r>
      <w:r>
        <w:t>, 1</w:t>
      </w:r>
      <w:r w:rsidRPr="00FE0CC4">
        <w:rPr>
          <w:vertAlign w:val="superscript"/>
        </w:rPr>
        <w:t>st</w:t>
      </w:r>
      <w:r>
        <w:t xml:space="preserve"> ed., Duxbury Press, Belmont, CA. </w:t>
      </w:r>
    </w:p>
    <w:p w14:paraId="0A86300F" w14:textId="77777777" w:rsidR="00831D40" w:rsidRDefault="00831D40" w:rsidP="00831D40">
      <w:pPr>
        <w:pStyle w:val="BODYTEXTPAPERSUMMARY"/>
        <w:numPr>
          <w:ilvl w:val="0"/>
          <w:numId w:val="5"/>
        </w:numPr>
      </w:pPr>
      <w:r>
        <w:t xml:space="preserve">Hahn, G.J., and S. Shapiro, 1994, </w:t>
      </w:r>
      <w:r>
        <w:rPr>
          <w:i/>
        </w:rPr>
        <w:t xml:space="preserve">Statistical Models in Engineering, </w:t>
      </w:r>
      <w:r>
        <w:t>Wiley Classics Library, Wiley-</w:t>
      </w:r>
      <w:proofErr w:type="spellStart"/>
      <w:r>
        <w:t>Interscience</w:t>
      </w:r>
      <w:proofErr w:type="spellEnd"/>
      <w:r>
        <w:t>, New York.</w:t>
      </w:r>
    </w:p>
    <w:p w14:paraId="674402CD" w14:textId="372C64D0" w:rsidR="00831D40" w:rsidRDefault="00831D40" w:rsidP="00A513B0">
      <w:pPr>
        <w:pStyle w:val="SUBHEAD1PAPERSUMMARY"/>
      </w:pPr>
    </w:p>
    <w:p w14:paraId="7E08BC1A" w14:textId="77777777" w:rsidR="00243D71" w:rsidRPr="00AC5C74" w:rsidRDefault="00243D71" w:rsidP="00516EF2">
      <w:pPr>
        <w:pStyle w:val="BODYTEXTPAPERSUMMARY"/>
      </w:pPr>
    </w:p>
    <w:sectPr w:rsidR="00243D71" w:rsidRPr="00AC5C74" w:rsidSect="002669F8">
      <w:headerReference w:type="default" r:id="rId15"/>
      <w:footerReference w:type="default" r:id="rId16"/>
      <w:pgSz w:w="12240" w:h="15840"/>
      <w:pgMar w:top="1440" w:right="1440" w:bottom="1440" w:left="1440" w:header="288"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EA02FE" w16cex:dateUtc="2024-02-12T12:22:00Z"/>
  <w16cex:commentExtensible w16cex:durableId="319E4E62" w16cex:dateUtc="2024-02-12T12:23:00Z"/>
  <w16cex:commentExtensible w16cex:durableId="782AE02E" w16cex:dateUtc="2024-02-12T12:25:00Z"/>
  <w16cex:commentExtensible w16cex:durableId="2E5C4E15" w16cex:dateUtc="2024-02-12T12:32:00Z"/>
  <w16cex:commentExtensible w16cex:durableId="69998CB9" w16cex:dateUtc="2024-02-12T12:35:00Z"/>
  <w16cex:commentExtensible w16cex:durableId="74E49059" w16cex:dateUtc="2024-02-12T12:38:00Z"/>
  <w16cex:commentExtensible w16cex:durableId="335669B8" w16cex:dateUtc="2024-02-12T12:43:00Z"/>
  <w16cex:commentExtensible w16cex:durableId="0DEFF6FC" w16cex:dateUtc="2024-02-12T12:45:00Z"/>
  <w16cex:commentExtensible w16cex:durableId="58F81832" w16cex:dateUtc="2024-02-12T12:48:00Z"/>
  <w16cex:commentExtensible w16cex:durableId="4BE56BE3" w16cex:dateUtc="2024-02-12T12:49:00Z"/>
  <w16cex:commentExtensible w16cex:durableId="10B00C0F" w16cex:dateUtc="2024-02-12T12:54:00Z"/>
  <w16cex:commentExtensible w16cex:durableId="34CFCFF3" w16cex:dateUtc="2024-02-12T12:56:00Z"/>
  <w16cex:commentExtensible w16cex:durableId="3C81073D" w16cex:dateUtc="2024-02-12T13:01:00Z"/>
  <w16cex:commentExtensible w16cex:durableId="47A85DD3" w16cex:dateUtc="2024-02-12T13:03:00Z"/>
  <w16cex:commentExtensible w16cex:durableId="1A35A869" w16cex:dateUtc="2024-02-12T13:02:00Z"/>
  <w16cex:commentExtensible w16cex:durableId="42A9D596" w16cex:dateUtc="2024-02-12T13:04:00Z"/>
  <w16cex:commentExtensible w16cex:durableId="1717FBD6" w16cex:dateUtc="2024-02-12T13:06:00Z"/>
  <w16cex:commentExtensible w16cex:durableId="2814CD55" w16cex:dateUtc="2024-02-12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5F4DF" w16cid:durableId="53EA02FE"/>
  <w16cid:commentId w16cid:paraId="74E020C8" w16cid:durableId="319E4E62"/>
  <w16cid:commentId w16cid:paraId="21AA25A1" w16cid:durableId="782AE02E"/>
  <w16cid:commentId w16cid:paraId="3382583A" w16cid:durableId="2E5C4E15"/>
  <w16cid:commentId w16cid:paraId="1C0AD593" w16cid:durableId="69998CB9"/>
  <w16cid:commentId w16cid:paraId="4E0E4136" w16cid:durableId="74E49059"/>
  <w16cid:commentId w16cid:paraId="2A774AE5" w16cid:durableId="335669B8"/>
  <w16cid:commentId w16cid:paraId="5365E417" w16cid:durableId="0DEFF6FC"/>
  <w16cid:commentId w16cid:paraId="0B08E625" w16cid:durableId="58F81832"/>
  <w16cid:commentId w16cid:paraId="176005CF" w16cid:durableId="4BE56BE3"/>
  <w16cid:commentId w16cid:paraId="4C72AED9" w16cid:durableId="10B00C0F"/>
  <w16cid:commentId w16cid:paraId="5805BEEB" w16cid:durableId="34CFCFF3"/>
  <w16cid:commentId w16cid:paraId="5778670C" w16cid:durableId="3C81073D"/>
  <w16cid:commentId w16cid:paraId="3FC42483" w16cid:durableId="47A85DD3"/>
  <w16cid:commentId w16cid:paraId="26195FC5" w16cid:durableId="1A35A869"/>
  <w16cid:commentId w16cid:paraId="76B49D21" w16cid:durableId="42A9D596"/>
  <w16cid:commentId w16cid:paraId="56105912" w16cid:durableId="1717FBD6"/>
  <w16cid:commentId w16cid:paraId="40B0389F" w16cid:durableId="2814CD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A536F" w14:textId="77777777" w:rsidR="00D91814" w:rsidRDefault="00D91814" w:rsidP="000947CE">
      <w:r>
        <w:separator/>
      </w:r>
    </w:p>
  </w:endnote>
  <w:endnote w:type="continuationSeparator" w:id="0">
    <w:p w14:paraId="54D47832" w14:textId="77777777" w:rsidR="00D91814" w:rsidRDefault="00D91814"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EF22F" w14:textId="2736E935" w:rsidR="00433BCD" w:rsidRDefault="00433BCD">
    <w:pPr>
      <w:pStyle w:val="Footer"/>
    </w:pPr>
    <w:r w:rsidRPr="006B7B98">
      <w:t>© 202</w:t>
    </w:r>
    <w:r>
      <w:t>4</w:t>
    </w:r>
    <w:r w:rsidRPr="006B7B98">
      <w:t>. This work is licensed under a </w:t>
    </w:r>
    <w:hyperlink r:id="rId1" w:history="1">
      <w:r w:rsidRPr="006B7B98">
        <w:rPr>
          <w:b/>
          <w:bCs/>
          <w:color w:val="0000FF"/>
          <w:u w:val="single"/>
        </w:rPr>
        <w:t>CC BY-ND 4.0 license</w:t>
      </w:r>
    </w:hyperlink>
    <w:r w:rsidRPr="006B7B98">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B1E51" w14:textId="77777777" w:rsidR="00D91814" w:rsidRDefault="00D91814" w:rsidP="000947CE">
      <w:r>
        <w:separator/>
      </w:r>
    </w:p>
  </w:footnote>
  <w:footnote w:type="continuationSeparator" w:id="0">
    <w:p w14:paraId="6CBA3611" w14:textId="77777777" w:rsidR="00D91814" w:rsidRDefault="00D91814"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9ED3" w14:textId="66B49F71" w:rsidR="00433BCD" w:rsidRPr="00B83BB8" w:rsidRDefault="00433BCD"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Pr="00B83BB8">
      <w:rPr>
        <w:b/>
        <w:bCs/>
        <w:sz w:val="20"/>
        <w:szCs w:val="16"/>
      </w:rPr>
      <w:ptab w:relativeTo="margin" w:alignment="center" w:leader="none"/>
    </w:r>
    <w:r w:rsidRPr="00B83BB8">
      <w:rPr>
        <w:b/>
        <w:bCs/>
        <w:sz w:val="20"/>
        <w:szCs w:val="16"/>
      </w:rPr>
      <w:t>Presented At: ASNT Research Symposium</w:t>
    </w:r>
    <w:proofErr w:type="gramStart"/>
    <w:r w:rsidRPr="00B83BB8">
      <w:rPr>
        <w:b/>
        <w:bCs/>
        <w:sz w:val="20"/>
        <w:szCs w:val="16"/>
      </w:rPr>
      <w:t>:</w:t>
    </w:r>
    <w:proofErr w:type="gramEnd"/>
    <w:r w:rsidRPr="00B83BB8">
      <w:rPr>
        <w:b/>
        <w:bCs/>
        <w:sz w:val="20"/>
        <w:szCs w:val="16"/>
      </w:rPr>
      <w:br/>
      <w:t>25 – 28 June 2024</w:t>
    </w:r>
    <w:r w:rsidRPr="00B83BB8">
      <w:rPr>
        <w:b/>
        <w:bCs/>
        <w:sz w:val="20"/>
        <w:szCs w:val="16"/>
      </w:rPr>
      <w:br/>
      <w:t>Pittsburgh, Pennsylvania, USA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310B9"/>
    <w:multiLevelType w:val="hybridMultilevel"/>
    <w:tmpl w:val="65E0E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44EBA"/>
    <w:multiLevelType w:val="hybridMultilevel"/>
    <w:tmpl w:val="E3E43F4C"/>
    <w:lvl w:ilvl="0" w:tplc="6F3A9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6047F9"/>
    <w:multiLevelType w:val="hybridMultilevel"/>
    <w:tmpl w:val="AD869D8E"/>
    <w:lvl w:ilvl="0" w:tplc="CC1E4D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404FE0"/>
    <w:multiLevelType w:val="hybridMultilevel"/>
    <w:tmpl w:val="AD869D8E"/>
    <w:lvl w:ilvl="0" w:tplc="CC1E4D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85"/>
    <w:rsid w:val="00026ADD"/>
    <w:rsid w:val="00060549"/>
    <w:rsid w:val="000612EB"/>
    <w:rsid w:val="00067F26"/>
    <w:rsid w:val="000875F0"/>
    <w:rsid w:val="000947CE"/>
    <w:rsid w:val="000A490E"/>
    <w:rsid w:val="000A56E2"/>
    <w:rsid w:val="000C3861"/>
    <w:rsid w:val="000D1592"/>
    <w:rsid w:val="000D3751"/>
    <w:rsid w:val="000E2A24"/>
    <w:rsid w:val="000F3605"/>
    <w:rsid w:val="000F4209"/>
    <w:rsid w:val="001167BD"/>
    <w:rsid w:val="0011734D"/>
    <w:rsid w:val="00136AB0"/>
    <w:rsid w:val="00142834"/>
    <w:rsid w:val="0014556B"/>
    <w:rsid w:val="001504A7"/>
    <w:rsid w:val="00154179"/>
    <w:rsid w:val="00167CB3"/>
    <w:rsid w:val="001728C4"/>
    <w:rsid w:val="00177FF9"/>
    <w:rsid w:val="00187AB5"/>
    <w:rsid w:val="001943A8"/>
    <w:rsid w:val="001A6813"/>
    <w:rsid w:val="001D0BDB"/>
    <w:rsid w:val="001D1F6F"/>
    <w:rsid w:val="001D48D7"/>
    <w:rsid w:val="001E0D83"/>
    <w:rsid w:val="001E3611"/>
    <w:rsid w:val="001E7A2C"/>
    <w:rsid w:val="001F4D73"/>
    <w:rsid w:val="001F52D0"/>
    <w:rsid w:val="001F7A7B"/>
    <w:rsid w:val="0020722E"/>
    <w:rsid w:val="002114F7"/>
    <w:rsid w:val="00215094"/>
    <w:rsid w:val="00227FE7"/>
    <w:rsid w:val="00243D71"/>
    <w:rsid w:val="002669F8"/>
    <w:rsid w:val="00271559"/>
    <w:rsid w:val="002725A4"/>
    <w:rsid w:val="00273FC3"/>
    <w:rsid w:val="00290EDB"/>
    <w:rsid w:val="0029662D"/>
    <w:rsid w:val="002B1E6C"/>
    <w:rsid w:val="002C30D6"/>
    <w:rsid w:val="002D25AC"/>
    <w:rsid w:val="002F1B41"/>
    <w:rsid w:val="002F68A8"/>
    <w:rsid w:val="00330343"/>
    <w:rsid w:val="00342336"/>
    <w:rsid w:val="00347D26"/>
    <w:rsid w:val="0036434C"/>
    <w:rsid w:val="00372803"/>
    <w:rsid w:val="00390D4A"/>
    <w:rsid w:val="00392749"/>
    <w:rsid w:val="003A22D0"/>
    <w:rsid w:val="003A6E7C"/>
    <w:rsid w:val="003C397A"/>
    <w:rsid w:val="003D56D6"/>
    <w:rsid w:val="003E4A69"/>
    <w:rsid w:val="003E6C8E"/>
    <w:rsid w:val="003F68EF"/>
    <w:rsid w:val="0040356B"/>
    <w:rsid w:val="00404575"/>
    <w:rsid w:val="00411B7D"/>
    <w:rsid w:val="00433BCD"/>
    <w:rsid w:val="00453E44"/>
    <w:rsid w:val="00462A44"/>
    <w:rsid w:val="00463BF4"/>
    <w:rsid w:val="00475510"/>
    <w:rsid w:val="004862E0"/>
    <w:rsid w:val="00490010"/>
    <w:rsid w:val="004A1F61"/>
    <w:rsid w:val="004D282B"/>
    <w:rsid w:val="004D545E"/>
    <w:rsid w:val="004E1D4C"/>
    <w:rsid w:val="004E4168"/>
    <w:rsid w:val="004E47DF"/>
    <w:rsid w:val="005036CB"/>
    <w:rsid w:val="00516EF2"/>
    <w:rsid w:val="00524883"/>
    <w:rsid w:val="00535D99"/>
    <w:rsid w:val="00546959"/>
    <w:rsid w:val="00567B04"/>
    <w:rsid w:val="005813A0"/>
    <w:rsid w:val="005842E2"/>
    <w:rsid w:val="005A22FD"/>
    <w:rsid w:val="005A37C6"/>
    <w:rsid w:val="005B0798"/>
    <w:rsid w:val="005B0F66"/>
    <w:rsid w:val="005B1564"/>
    <w:rsid w:val="005D5A5B"/>
    <w:rsid w:val="005F088A"/>
    <w:rsid w:val="00602F20"/>
    <w:rsid w:val="006045B0"/>
    <w:rsid w:val="0060483B"/>
    <w:rsid w:val="00612799"/>
    <w:rsid w:val="00615939"/>
    <w:rsid w:val="006169FB"/>
    <w:rsid w:val="00656A31"/>
    <w:rsid w:val="006659BC"/>
    <w:rsid w:val="00677919"/>
    <w:rsid w:val="006A2A9B"/>
    <w:rsid w:val="006A6C92"/>
    <w:rsid w:val="006A7A9A"/>
    <w:rsid w:val="006B7B98"/>
    <w:rsid w:val="006C2225"/>
    <w:rsid w:val="006C3367"/>
    <w:rsid w:val="006C35C4"/>
    <w:rsid w:val="006C5CEE"/>
    <w:rsid w:val="006E1CE4"/>
    <w:rsid w:val="007202E3"/>
    <w:rsid w:val="00725800"/>
    <w:rsid w:val="007317D9"/>
    <w:rsid w:val="00731B2F"/>
    <w:rsid w:val="00731D3B"/>
    <w:rsid w:val="007779E7"/>
    <w:rsid w:val="007829B8"/>
    <w:rsid w:val="00787036"/>
    <w:rsid w:val="007D3729"/>
    <w:rsid w:val="00831D40"/>
    <w:rsid w:val="00850F12"/>
    <w:rsid w:val="0085794F"/>
    <w:rsid w:val="008637FB"/>
    <w:rsid w:val="00867612"/>
    <w:rsid w:val="00875897"/>
    <w:rsid w:val="00876303"/>
    <w:rsid w:val="0087722E"/>
    <w:rsid w:val="00880DC2"/>
    <w:rsid w:val="00896C7C"/>
    <w:rsid w:val="008A0965"/>
    <w:rsid w:val="008A745C"/>
    <w:rsid w:val="008B0A0A"/>
    <w:rsid w:val="008C526F"/>
    <w:rsid w:val="008C7E91"/>
    <w:rsid w:val="008D3B29"/>
    <w:rsid w:val="008D5861"/>
    <w:rsid w:val="008E049D"/>
    <w:rsid w:val="008E318B"/>
    <w:rsid w:val="008F349B"/>
    <w:rsid w:val="008F4AC1"/>
    <w:rsid w:val="008F4EAE"/>
    <w:rsid w:val="00917510"/>
    <w:rsid w:val="00920CA5"/>
    <w:rsid w:val="00944127"/>
    <w:rsid w:val="00946E59"/>
    <w:rsid w:val="009519E8"/>
    <w:rsid w:val="0097229F"/>
    <w:rsid w:val="009918EA"/>
    <w:rsid w:val="009A53C4"/>
    <w:rsid w:val="009B105A"/>
    <w:rsid w:val="009B1833"/>
    <w:rsid w:val="009C165E"/>
    <w:rsid w:val="009D5C17"/>
    <w:rsid w:val="00A07955"/>
    <w:rsid w:val="00A16D07"/>
    <w:rsid w:val="00A171AB"/>
    <w:rsid w:val="00A23F3B"/>
    <w:rsid w:val="00A44410"/>
    <w:rsid w:val="00A513B0"/>
    <w:rsid w:val="00A616CD"/>
    <w:rsid w:val="00A77085"/>
    <w:rsid w:val="00A82AD6"/>
    <w:rsid w:val="00A85F5E"/>
    <w:rsid w:val="00A91D5C"/>
    <w:rsid w:val="00A94B07"/>
    <w:rsid w:val="00A976CD"/>
    <w:rsid w:val="00AA6170"/>
    <w:rsid w:val="00AC5C74"/>
    <w:rsid w:val="00AD64CD"/>
    <w:rsid w:val="00AF21F2"/>
    <w:rsid w:val="00AF43F7"/>
    <w:rsid w:val="00AF5D00"/>
    <w:rsid w:val="00B11985"/>
    <w:rsid w:val="00B12DEB"/>
    <w:rsid w:val="00B14AF4"/>
    <w:rsid w:val="00B25046"/>
    <w:rsid w:val="00B26AB9"/>
    <w:rsid w:val="00B52AF7"/>
    <w:rsid w:val="00B52D39"/>
    <w:rsid w:val="00B545F5"/>
    <w:rsid w:val="00B5511A"/>
    <w:rsid w:val="00B60065"/>
    <w:rsid w:val="00B762D6"/>
    <w:rsid w:val="00B83BB8"/>
    <w:rsid w:val="00BB2BC4"/>
    <w:rsid w:val="00BE5F5A"/>
    <w:rsid w:val="00BF1ADE"/>
    <w:rsid w:val="00BF53BA"/>
    <w:rsid w:val="00C14653"/>
    <w:rsid w:val="00C3669C"/>
    <w:rsid w:val="00C4769F"/>
    <w:rsid w:val="00C550F6"/>
    <w:rsid w:val="00C56D06"/>
    <w:rsid w:val="00C60DF5"/>
    <w:rsid w:val="00C619A8"/>
    <w:rsid w:val="00C6298B"/>
    <w:rsid w:val="00C913B9"/>
    <w:rsid w:val="00C93F9A"/>
    <w:rsid w:val="00CA3A4F"/>
    <w:rsid w:val="00CA79A3"/>
    <w:rsid w:val="00CB51AA"/>
    <w:rsid w:val="00CC15AC"/>
    <w:rsid w:val="00CC435E"/>
    <w:rsid w:val="00CC7936"/>
    <w:rsid w:val="00CD3B3B"/>
    <w:rsid w:val="00CE2C18"/>
    <w:rsid w:val="00CF3C2D"/>
    <w:rsid w:val="00D017D5"/>
    <w:rsid w:val="00D06AE2"/>
    <w:rsid w:val="00D120A1"/>
    <w:rsid w:val="00D164F6"/>
    <w:rsid w:val="00D17E9F"/>
    <w:rsid w:val="00D21C0C"/>
    <w:rsid w:val="00D23AA8"/>
    <w:rsid w:val="00D27CFF"/>
    <w:rsid w:val="00D3492D"/>
    <w:rsid w:val="00D409F2"/>
    <w:rsid w:val="00D434FD"/>
    <w:rsid w:val="00D452A3"/>
    <w:rsid w:val="00D47B72"/>
    <w:rsid w:val="00D539D4"/>
    <w:rsid w:val="00D64039"/>
    <w:rsid w:val="00D868BA"/>
    <w:rsid w:val="00D90691"/>
    <w:rsid w:val="00D91814"/>
    <w:rsid w:val="00DA63BC"/>
    <w:rsid w:val="00DB0F3B"/>
    <w:rsid w:val="00DC738B"/>
    <w:rsid w:val="00DF0980"/>
    <w:rsid w:val="00E06BE0"/>
    <w:rsid w:val="00E267EC"/>
    <w:rsid w:val="00E26FF6"/>
    <w:rsid w:val="00E70D82"/>
    <w:rsid w:val="00E94D76"/>
    <w:rsid w:val="00E979F4"/>
    <w:rsid w:val="00EB2E1B"/>
    <w:rsid w:val="00EB7FE7"/>
    <w:rsid w:val="00ED250E"/>
    <w:rsid w:val="00ED5D29"/>
    <w:rsid w:val="00EE5B06"/>
    <w:rsid w:val="00EF1C31"/>
    <w:rsid w:val="00F02C66"/>
    <w:rsid w:val="00F15AE8"/>
    <w:rsid w:val="00F320F2"/>
    <w:rsid w:val="00F525D3"/>
    <w:rsid w:val="00F57107"/>
    <w:rsid w:val="00F765C0"/>
    <w:rsid w:val="00F84A5D"/>
    <w:rsid w:val="00F84B43"/>
    <w:rsid w:val="00F92842"/>
    <w:rsid w:val="00FA0A4C"/>
    <w:rsid w:val="00FB6C7E"/>
    <w:rsid w:val="00FC5C56"/>
    <w:rsid w:val="00FE0C5A"/>
    <w:rsid w:val="00FE0CC4"/>
    <w:rsid w:val="00FE1892"/>
    <w:rsid w:val="00FF6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character" w:styleId="PlaceholderText">
    <w:name w:val="Placeholder Text"/>
    <w:basedOn w:val="DefaultParagraphFont"/>
    <w:uiPriority w:val="99"/>
    <w:semiHidden/>
    <w:rsid w:val="00875897"/>
    <w:rPr>
      <w:color w:val="808080"/>
    </w:rPr>
  </w:style>
  <w:style w:type="character" w:styleId="FollowedHyperlink">
    <w:name w:val="FollowedHyperlink"/>
    <w:basedOn w:val="DefaultParagraphFont"/>
    <w:uiPriority w:val="99"/>
    <w:semiHidden/>
    <w:unhideWhenUsed/>
    <w:rsid w:val="00C93F9A"/>
    <w:rPr>
      <w:color w:val="800080" w:themeColor="followedHyperlink"/>
      <w:u w:val="single"/>
    </w:rPr>
  </w:style>
  <w:style w:type="paragraph" w:styleId="Revision">
    <w:name w:val="Revision"/>
    <w:hidden/>
    <w:uiPriority w:val="99"/>
    <w:semiHidden/>
    <w:rsid w:val="00154179"/>
    <w:rPr>
      <w:sz w:val="24"/>
      <w:szCs w:val="24"/>
    </w:rPr>
  </w:style>
  <w:style w:type="character" w:styleId="CommentReference">
    <w:name w:val="annotation reference"/>
    <w:basedOn w:val="DefaultParagraphFont"/>
    <w:uiPriority w:val="99"/>
    <w:semiHidden/>
    <w:unhideWhenUsed/>
    <w:rsid w:val="00154179"/>
    <w:rPr>
      <w:sz w:val="16"/>
      <w:szCs w:val="16"/>
    </w:rPr>
  </w:style>
  <w:style w:type="paragraph" w:styleId="CommentText">
    <w:name w:val="annotation text"/>
    <w:basedOn w:val="Normal"/>
    <w:link w:val="CommentTextChar"/>
    <w:uiPriority w:val="99"/>
    <w:unhideWhenUsed/>
    <w:rsid w:val="00154179"/>
    <w:rPr>
      <w:sz w:val="20"/>
      <w:szCs w:val="20"/>
    </w:rPr>
  </w:style>
  <w:style w:type="character" w:customStyle="1" w:styleId="CommentTextChar">
    <w:name w:val="Comment Text Char"/>
    <w:basedOn w:val="DefaultParagraphFont"/>
    <w:link w:val="CommentText"/>
    <w:uiPriority w:val="99"/>
    <w:rsid w:val="00154179"/>
  </w:style>
  <w:style w:type="paragraph" w:styleId="CommentSubject">
    <w:name w:val="annotation subject"/>
    <w:basedOn w:val="CommentText"/>
    <w:next w:val="CommentText"/>
    <w:link w:val="CommentSubjectChar"/>
    <w:uiPriority w:val="99"/>
    <w:semiHidden/>
    <w:unhideWhenUsed/>
    <w:rsid w:val="00154179"/>
    <w:rPr>
      <w:b/>
      <w:bCs/>
    </w:rPr>
  </w:style>
  <w:style w:type="character" w:customStyle="1" w:styleId="CommentSubjectChar">
    <w:name w:val="Comment Subject Char"/>
    <w:basedOn w:val="CommentTextChar"/>
    <w:link w:val="CommentSubject"/>
    <w:uiPriority w:val="99"/>
    <w:semiHidden/>
    <w:rsid w:val="00154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ndards.nasa.gov/standard/NASA/NASA-STD-50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3harris.com/all-capabilities/rs-25-engine" TargetMode="External"/><Relationship Id="rId17"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sa.gov/reference/space-launch-system-rs-25-core-stage-engine/" TargetMode="Externa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ndards.nasa.gov/standard/NASA/NASA-STD-500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52BEE-1EAC-4264-B647-1CC317C548C6}">
  <ds:schemaRefs>
    <ds:schemaRef ds:uri="7730fcee-e73c-4b0c-959c-8bbcb70890d6"/>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f74ba1f9-e9eb-4b62-99cd-56abd8e2563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4.xml><?xml version="1.0" encoding="utf-8"?>
<ds:datastoreItem xmlns:ds="http://schemas.openxmlformats.org/officeDocument/2006/customXml" ds:itemID="{512C3F4C-92EB-4EBD-A983-74AE657D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3166</Words>
  <Characters>17494</Characters>
  <Application>Microsoft Office Word</Application>
  <DocSecurity>0</DocSecurity>
  <Lines>277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Mindy.Hotchkiss@rocket.com</dc:creator>
  <cp:keywords>Category=C1 : ExportControl=N : Markings=N</cp:keywords>
  <dc:description/>
  <cp:lastModifiedBy>Hotchkiss, Mindy (US) - SPPS</cp:lastModifiedBy>
  <cp:revision>6</cp:revision>
  <cp:lastPrinted>2017-07-18T20:28:00Z</cp:lastPrinted>
  <dcterms:created xsi:type="dcterms:W3CDTF">2024-02-23T17:35:00Z</dcterms:created>
  <dcterms:modified xsi:type="dcterms:W3CDTF">2024-02-28T00:57:00Z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y fmtid="{D5CDD505-2E9C-101B-9397-08002B2CF9AE}" pid="6" name="TitusGUID">
    <vt:lpwstr>cbb0b49e-b497-4edb-b4c8-89bf82e85c38</vt:lpwstr>
  </property>
  <property fmtid="{D5CDD505-2E9C-101B-9397-08002B2CF9AE}" pid="7" name="GrammarlyDocumentId">
    <vt:lpwstr>a9c3ce653e8000721f41aae786629d531f5c4cf7e0802987c928596b4423c3c3</vt:lpwstr>
  </property>
  <property fmtid="{D5CDD505-2E9C-101B-9397-08002B2CF9AE}" pid="8" name="Category">
    <vt:lpwstr>C1</vt:lpwstr>
  </property>
  <property fmtid="{D5CDD505-2E9C-101B-9397-08002B2CF9AE}" pid="9" name="ExportControl">
    <vt:lpwstr>N</vt:lpwstr>
  </property>
  <property fmtid="{D5CDD505-2E9C-101B-9397-08002B2CF9AE}" pid="10" name="Markings">
    <vt:lpwstr>N</vt:lpwstr>
  </property>
</Properties>
</file>