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02066565" w:rsidR="00AF5D00" w:rsidRPr="00AF5D00" w:rsidRDefault="0054729C" w:rsidP="00AF5D00">
      <w:pPr>
        <w:spacing w:after="240"/>
        <w:jc w:val="center"/>
        <w:rPr>
          <w:rFonts w:ascii="Times New Roman" w:hAnsi="Times New Roman"/>
          <w:b/>
          <w:sz w:val="28"/>
          <w:szCs w:val="28"/>
        </w:rPr>
      </w:pPr>
      <w:r>
        <w:rPr>
          <w:rFonts w:ascii="Times New Roman" w:hAnsi="Times New Roman"/>
          <w:b/>
          <w:sz w:val="28"/>
          <w:szCs w:val="28"/>
        </w:rPr>
        <w:t xml:space="preserve">Review of Progress on Methods for </w:t>
      </w:r>
      <w:r w:rsidR="00451211" w:rsidRPr="00451211">
        <w:rPr>
          <w:rFonts w:ascii="Times New Roman" w:hAnsi="Times New Roman"/>
          <w:b/>
          <w:sz w:val="28"/>
          <w:szCs w:val="28"/>
        </w:rPr>
        <w:t>Model-Assisted Probability of Detection (MAPOD)</w:t>
      </w:r>
      <w:r w:rsidR="00451211">
        <w:rPr>
          <w:rFonts w:ascii="Times New Roman" w:hAnsi="Times New Roman"/>
          <w:b/>
          <w:sz w:val="28"/>
          <w:szCs w:val="28"/>
        </w:rPr>
        <w:t xml:space="preserve"> </w:t>
      </w:r>
      <w:r>
        <w:rPr>
          <w:rFonts w:ascii="Times New Roman" w:hAnsi="Times New Roman"/>
          <w:b/>
          <w:sz w:val="28"/>
          <w:szCs w:val="28"/>
        </w:rPr>
        <w:t xml:space="preserve">Evaluation with Reduced Empirical Testing </w:t>
      </w:r>
    </w:p>
    <w:p w14:paraId="3E537F5A" w14:textId="5934DBFB" w:rsidR="00D43148" w:rsidRDefault="009D1C45" w:rsidP="00AF5D00">
      <w:pPr>
        <w:spacing w:line="240" w:lineRule="exact"/>
        <w:jc w:val="center"/>
        <w:rPr>
          <w:rFonts w:ascii="Times New Roman" w:hAnsi="Times New Roman"/>
          <w:b/>
          <w:sz w:val="20"/>
          <w:szCs w:val="20"/>
        </w:rPr>
      </w:pPr>
      <w:r w:rsidRPr="009D1C45">
        <w:rPr>
          <w:rFonts w:ascii="Times New Roman" w:hAnsi="Times New Roman"/>
          <w:b/>
          <w:sz w:val="20"/>
          <w:szCs w:val="20"/>
        </w:rPr>
        <w:t>John C. Aldrin</w:t>
      </w:r>
      <w:r>
        <w:rPr>
          <w:rFonts w:ascii="Times New Roman" w:hAnsi="Times New Roman"/>
          <w:b/>
          <w:sz w:val="20"/>
          <w:szCs w:val="20"/>
          <w:vertAlign w:val="superscript"/>
        </w:rPr>
        <w:t>1</w:t>
      </w:r>
      <w:r w:rsidRPr="009D1C45">
        <w:rPr>
          <w:rFonts w:ascii="Times New Roman" w:hAnsi="Times New Roman"/>
          <w:b/>
          <w:sz w:val="20"/>
          <w:szCs w:val="20"/>
        </w:rPr>
        <w:t xml:space="preserve">, </w:t>
      </w:r>
      <w:r w:rsidR="00D43148" w:rsidRPr="00D43148">
        <w:rPr>
          <w:rFonts w:ascii="Times New Roman" w:hAnsi="Times New Roman"/>
          <w:b/>
          <w:sz w:val="20"/>
          <w:szCs w:val="20"/>
        </w:rPr>
        <w:t>Qing Li</w:t>
      </w:r>
      <w:r w:rsidR="00D43148">
        <w:rPr>
          <w:rFonts w:ascii="Times New Roman" w:hAnsi="Times New Roman"/>
          <w:b/>
          <w:sz w:val="20"/>
          <w:szCs w:val="20"/>
          <w:vertAlign w:val="superscript"/>
        </w:rPr>
        <w:t>2</w:t>
      </w:r>
      <w:r w:rsidR="00D43148" w:rsidRPr="00D43148">
        <w:rPr>
          <w:rFonts w:ascii="Times New Roman" w:hAnsi="Times New Roman"/>
          <w:b/>
          <w:sz w:val="20"/>
          <w:szCs w:val="20"/>
        </w:rPr>
        <w:t>, Brady Engle</w:t>
      </w:r>
      <w:r w:rsidR="00D43148">
        <w:rPr>
          <w:rFonts w:ascii="Times New Roman" w:hAnsi="Times New Roman"/>
          <w:b/>
          <w:sz w:val="20"/>
          <w:szCs w:val="20"/>
          <w:vertAlign w:val="superscript"/>
        </w:rPr>
        <w:t>2</w:t>
      </w:r>
      <w:r w:rsidR="00D43148" w:rsidRPr="00D43148">
        <w:rPr>
          <w:rFonts w:ascii="Times New Roman" w:hAnsi="Times New Roman"/>
          <w:b/>
          <w:sz w:val="20"/>
          <w:szCs w:val="20"/>
        </w:rPr>
        <w:t>, Pulkit Kumar</w:t>
      </w:r>
      <w:r w:rsidR="00D43148">
        <w:rPr>
          <w:rFonts w:ascii="Times New Roman" w:hAnsi="Times New Roman"/>
          <w:b/>
          <w:sz w:val="20"/>
          <w:szCs w:val="20"/>
          <w:vertAlign w:val="superscript"/>
        </w:rPr>
        <w:t>2</w:t>
      </w:r>
      <w:r w:rsidR="00D43148" w:rsidRPr="00D43148">
        <w:rPr>
          <w:rFonts w:ascii="Times New Roman" w:hAnsi="Times New Roman"/>
          <w:b/>
          <w:sz w:val="20"/>
          <w:szCs w:val="20"/>
        </w:rPr>
        <w:t xml:space="preserve">, </w:t>
      </w:r>
      <w:r w:rsidR="00D43148">
        <w:rPr>
          <w:rFonts w:ascii="Times New Roman" w:hAnsi="Times New Roman"/>
          <w:b/>
          <w:sz w:val="20"/>
          <w:szCs w:val="20"/>
        </w:rPr>
        <w:br/>
      </w:r>
      <w:r w:rsidR="00D43148" w:rsidRPr="00D43148">
        <w:rPr>
          <w:rFonts w:ascii="Times New Roman" w:hAnsi="Times New Roman"/>
          <w:b/>
          <w:sz w:val="20"/>
          <w:szCs w:val="20"/>
        </w:rPr>
        <w:t>Mingyang Lu</w:t>
      </w:r>
      <w:r w:rsidR="00D43148">
        <w:rPr>
          <w:rFonts w:ascii="Times New Roman" w:hAnsi="Times New Roman"/>
          <w:b/>
          <w:sz w:val="20"/>
          <w:szCs w:val="20"/>
          <w:vertAlign w:val="superscript"/>
        </w:rPr>
        <w:t>2</w:t>
      </w:r>
      <w:r w:rsidR="00D43148" w:rsidRPr="00D43148">
        <w:rPr>
          <w:rFonts w:ascii="Times New Roman" w:hAnsi="Times New Roman"/>
          <w:b/>
          <w:sz w:val="20"/>
          <w:szCs w:val="20"/>
        </w:rPr>
        <w:t xml:space="preserve">, </w:t>
      </w:r>
      <w:proofErr w:type="spellStart"/>
      <w:r w:rsidR="00D43148" w:rsidRPr="00D43148">
        <w:rPr>
          <w:rFonts w:ascii="Times New Roman" w:hAnsi="Times New Roman"/>
          <w:b/>
          <w:sz w:val="20"/>
          <w:szCs w:val="20"/>
        </w:rPr>
        <w:t>Jiming</w:t>
      </w:r>
      <w:proofErr w:type="spellEnd"/>
      <w:r w:rsidR="00D43148" w:rsidRPr="00D43148">
        <w:rPr>
          <w:rFonts w:ascii="Times New Roman" w:hAnsi="Times New Roman"/>
          <w:b/>
          <w:sz w:val="20"/>
          <w:szCs w:val="20"/>
        </w:rPr>
        <w:t xml:space="preserve"> Song</w:t>
      </w:r>
      <w:r w:rsidR="00D43148">
        <w:rPr>
          <w:rFonts w:ascii="Times New Roman" w:hAnsi="Times New Roman"/>
          <w:b/>
          <w:sz w:val="20"/>
          <w:szCs w:val="20"/>
          <w:vertAlign w:val="superscript"/>
        </w:rPr>
        <w:t>2</w:t>
      </w:r>
      <w:r w:rsidR="00D43148" w:rsidRPr="00D43148">
        <w:rPr>
          <w:rFonts w:ascii="Times New Roman" w:hAnsi="Times New Roman"/>
          <w:b/>
          <w:sz w:val="20"/>
          <w:szCs w:val="20"/>
        </w:rPr>
        <w:t xml:space="preserve">, Mohamed </w:t>
      </w:r>
      <w:r w:rsidR="00D43148" w:rsidRPr="00D43148">
        <w:rPr>
          <w:rFonts w:ascii="Times New Roman" w:hAnsi="Times New Roman"/>
          <w:b/>
          <w:sz w:val="20"/>
          <w:szCs w:val="20"/>
        </w:rPr>
        <w:t>Subair</w:t>
      </w:r>
      <w:r w:rsidR="00717BFC">
        <w:rPr>
          <w:rFonts w:ascii="Times New Roman" w:hAnsi="Times New Roman"/>
          <w:b/>
          <w:sz w:val="20"/>
          <w:szCs w:val="20"/>
        </w:rPr>
        <w:t xml:space="preserve"> Syed Akbar Ali</w:t>
      </w:r>
      <w:r w:rsidR="00D43148">
        <w:rPr>
          <w:rFonts w:ascii="Times New Roman" w:hAnsi="Times New Roman"/>
          <w:b/>
          <w:sz w:val="20"/>
          <w:szCs w:val="20"/>
          <w:vertAlign w:val="superscript"/>
        </w:rPr>
        <w:t>2</w:t>
      </w:r>
      <w:r w:rsidR="00D43148" w:rsidRPr="00D43148">
        <w:rPr>
          <w:rFonts w:ascii="Times New Roman" w:hAnsi="Times New Roman"/>
          <w:b/>
          <w:sz w:val="20"/>
          <w:szCs w:val="20"/>
        </w:rPr>
        <w:t>, Scott Wendt</w:t>
      </w:r>
      <w:r w:rsidR="00D43148">
        <w:rPr>
          <w:rFonts w:ascii="Times New Roman" w:hAnsi="Times New Roman"/>
          <w:b/>
          <w:sz w:val="20"/>
          <w:szCs w:val="20"/>
          <w:vertAlign w:val="superscript"/>
        </w:rPr>
        <w:t>2</w:t>
      </w:r>
    </w:p>
    <w:p w14:paraId="0C631C93" w14:textId="77777777" w:rsidR="009D1C45" w:rsidRDefault="009D1C45" w:rsidP="009D1C45">
      <w:pPr>
        <w:spacing w:line="240" w:lineRule="exact"/>
        <w:jc w:val="center"/>
        <w:rPr>
          <w:rFonts w:ascii="Times New Roman" w:hAnsi="Times New Roman"/>
          <w:sz w:val="20"/>
          <w:szCs w:val="20"/>
          <w:vertAlign w:val="superscript"/>
        </w:rPr>
      </w:pPr>
    </w:p>
    <w:p w14:paraId="64DDF663" w14:textId="1A148F0F" w:rsidR="009D1C45" w:rsidRPr="009C165E" w:rsidRDefault="00E63848" w:rsidP="009D1C45">
      <w:pPr>
        <w:spacing w:line="240" w:lineRule="exact"/>
        <w:jc w:val="center"/>
        <w:rPr>
          <w:rFonts w:ascii="Times New Roman" w:hAnsi="Times New Roman"/>
          <w:sz w:val="20"/>
          <w:szCs w:val="20"/>
        </w:rPr>
      </w:pPr>
      <w:r>
        <w:rPr>
          <w:rFonts w:ascii="Times New Roman" w:hAnsi="Times New Roman"/>
          <w:sz w:val="20"/>
          <w:szCs w:val="20"/>
          <w:vertAlign w:val="superscript"/>
        </w:rPr>
        <w:t>1</w:t>
      </w:r>
      <w:r w:rsidR="009D1C45">
        <w:rPr>
          <w:rFonts w:ascii="Times New Roman" w:hAnsi="Times New Roman"/>
          <w:sz w:val="20"/>
          <w:szCs w:val="20"/>
        </w:rPr>
        <w:t>Computational Tools, Gurnee IL, 60031</w:t>
      </w:r>
    </w:p>
    <w:p w14:paraId="32421898" w14:textId="77777777" w:rsidR="009D1C45" w:rsidRDefault="009D1C45" w:rsidP="009D1C45">
      <w:pPr>
        <w:spacing w:line="240" w:lineRule="exact"/>
        <w:jc w:val="center"/>
        <w:rPr>
          <w:rFonts w:ascii="Times New Roman" w:hAnsi="Times New Roman"/>
          <w:sz w:val="20"/>
          <w:szCs w:val="20"/>
        </w:rPr>
      </w:pPr>
      <w:r>
        <w:rPr>
          <w:rFonts w:ascii="Times New Roman" w:hAnsi="Times New Roman"/>
          <w:sz w:val="20"/>
          <w:szCs w:val="20"/>
        </w:rPr>
        <w:t>e</w:t>
      </w:r>
      <w:r w:rsidRPr="009C165E">
        <w:rPr>
          <w:rFonts w:ascii="Times New Roman" w:hAnsi="Times New Roman"/>
          <w:sz w:val="20"/>
          <w:szCs w:val="20"/>
        </w:rPr>
        <w:t>mail</w:t>
      </w:r>
      <w:r>
        <w:rPr>
          <w:rFonts w:ascii="Times New Roman" w:hAnsi="Times New Roman"/>
          <w:sz w:val="20"/>
          <w:szCs w:val="20"/>
        </w:rPr>
        <w:t>:</w:t>
      </w:r>
      <w:r w:rsidRPr="009C165E">
        <w:rPr>
          <w:rFonts w:ascii="Times New Roman" w:hAnsi="Times New Roman"/>
          <w:sz w:val="20"/>
          <w:szCs w:val="20"/>
        </w:rPr>
        <w:t xml:space="preserve"> </w:t>
      </w:r>
      <w:r w:rsidRPr="009E23F8">
        <w:rPr>
          <w:rFonts w:ascii="Times New Roman" w:hAnsi="Times New Roman"/>
          <w:sz w:val="20"/>
          <w:szCs w:val="20"/>
        </w:rPr>
        <w:t>aldrin@computationaltools.com</w:t>
      </w:r>
      <w:r>
        <w:rPr>
          <w:rFonts w:ascii="Times New Roman" w:hAnsi="Times New Roman"/>
          <w:sz w:val="20"/>
          <w:szCs w:val="20"/>
        </w:rPr>
        <w:t xml:space="preserve">  </w:t>
      </w:r>
    </w:p>
    <w:p w14:paraId="63FFED6A" w14:textId="77777777" w:rsidR="009739DC" w:rsidRDefault="009739DC" w:rsidP="009739DC">
      <w:pPr>
        <w:spacing w:line="240" w:lineRule="exact"/>
        <w:jc w:val="center"/>
        <w:rPr>
          <w:rFonts w:ascii="Times New Roman" w:hAnsi="Times New Roman"/>
          <w:sz w:val="20"/>
          <w:szCs w:val="20"/>
          <w:vertAlign w:val="superscript"/>
        </w:rPr>
      </w:pPr>
    </w:p>
    <w:p w14:paraId="63E28820" w14:textId="154B4B22" w:rsidR="009D1C45" w:rsidRPr="00FB0AE6" w:rsidRDefault="009739DC" w:rsidP="00D43148">
      <w:pPr>
        <w:spacing w:line="240" w:lineRule="exact"/>
        <w:jc w:val="center"/>
      </w:pPr>
      <w:r>
        <w:rPr>
          <w:rFonts w:ascii="Times New Roman" w:hAnsi="Times New Roman"/>
          <w:sz w:val="20"/>
          <w:szCs w:val="20"/>
          <w:vertAlign w:val="superscript"/>
        </w:rPr>
        <w:t>2</w:t>
      </w:r>
      <w:r w:rsidR="00D43148">
        <w:rPr>
          <w:rFonts w:ascii="Times New Roman" w:hAnsi="Times New Roman"/>
          <w:sz w:val="20"/>
          <w:szCs w:val="20"/>
        </w:rPr>
        <w:t>Center for Nondestructive Evaluation (CNDE), Iowa State University, Ames</w:t>
      </w:r>
      <w:r w:rsidRPr="00E63848">
        <w:rPr>
          <w:rFonts w:ascii="Times New Roman" w:hAnsi="Times New Roman"/>
          <w:sz w:val="20"/>
          <w:szCs w:val="20"/>
        </w:rPr>
        <w:t xml:space="preserve">, </w:t>
      </w:r>
      <w:r w:rsidR="00D43148">
        <w:rPr>
          <w:rFonts w:ascii="Times New Roman" w:hAnsi="Times New Roman"/>
          <w:sz w:val="20"/>
          <w:szCs w:val="20"/>
        </w:rPr>
        <w:t>IA</w:t>
      </w:r>
      <w:r w:rsidRPr="00E63848">
        <w:rPr>
          <w:rFonts w:ascii="Times New Roman" w:hAnsi="Times New Roman"/>
          <w:sz w:val="20"/>
          <w:szCs w:val="20"/>
        </w:rPr>
        <w:t xml:space="preserve"> </w:t>
      </w:r>
      <w:r w:rsidR="00451211" w:rsidRPr="00451211">
        <w:rPr>
          <w:rFonts w:ascii="Times New Roman" w:hAnsi="Times New Roman"/>
          <w:sz w:val="20"/>
          <w:szCs w:val="20"/>
        </w:rPr>
        <w:t>50011</w:t>
      </w:r>
      <w:r w:rsidRPr="00E63848">
        <w:rPr>
          <w:rFonts w:ascii="Times New Roman" w:hAnsi="Times New Roman"/>
          <w:sz w:val="20"/>
          <w:szCs w:val="20"/>
        </w:rPr>
        <w:t>, USA</w:t>
      </w:r>
      <w:r>
        <w:rPr>
          <w:rFonts w:ascii="Times New Roman" w:hAnsi="Times New Roman"/>
          <w:sz w:val="20"/>
          <w:szCs w:val="20"/>
        </w:rPr>
        <w:t xml:space="preserve"> </w:t>
      </w:r>
      <w:r>
        <w:rPr>
          <w:rFonts w:ascii="Times New Roman" w:hAnsi="Times New Roman"/>
          <w:sz w:val="20"/>
          <w:szCs w:val="20"/>
        </w:rPr>
        <w:br/>
      </w:r>
    </w:p>
    <w:p w14:paraId="1BFEB36E" w14:textId="3DFF8381" w:rsidR="001F4D73" w:rsidRPr="00CC5657" w:rsidRDefault="001F4D73" w:rsidP="005B0798">
      <w:pPr>
        <w:pStyle w:val="SUBHEAD1PAPERSUMMARY"/>
      </w:pPr>
      <w:r w:rsidRPr="00CC5657">
        <w:t>ABSTRACT</w:t>
      </w:r>
    </w:p>
    <w:p w14:paraId="5CD02CFA" w14:textId="4A5B5F3F" w:rsidR="009C165E" w:rsidRDefault="009313CA" w:rsidP="001142F2">
      <w:pPr>
        <w:pStyle w:val="BODYTEXTPAPERSUMMARY"/>
        <w:jc w:val="both"/>
      </w:pPr>
      <w:r w:rsidRPr="00EA2786">
        <w:t xml:space="preserve">The preparation and testing of POD samples with representative damage in real parts is frequently considered a burden in the validation of new </w:t>
      </w:r>
      <w:r w:rsidR="00F36390">
        <w:t>NDE</w:t>
      </w:r>
      <w:r w:rsidRPr="00EA2786">
        <w:t xml:space="preserve"> techniques.  </w:t>
      </w:r>
      <w:r w:rsidR="00624F24">
        <w:t>T</w:t>
      </w:r>
      <w:r w:rsidRPr="00EA2786">
        <w:t>he</w:t>
      </w:r>
      <w:r w:rsidR="001142F2">
        <w:t xml:space="preserve"> model-assisted probability of detection (MAPOD)</w:t>
      </w:r>
      <w:r w:rsidRPr="00EA2786">
        <w:t xml:space="preserve"> evaluation process has been </w:t>
      </w:r>
      <w:r w:rsidR="001142F2">
        <w:t xml:space="preserve">developed, documented </w:t>
      </w:r>
      <w:r w:rsidR="00F36390">
        <w:t xml:space="preserve">through </w:t>
      </w:r>
      <w:r w:rsidRPr="00EA2786">
        <w:t>best practices</w:t>
      </w:r>
      <w:r w:rsidR="00F36390">
        <w:t>,</w:t>
      </w:r>
      <w:r w:rsidRPr="00EA2786">
        <w:t xml:space="preserve"> and </w:t>
      </w:r>
      <w:r w:rsidR="001142F2">
        <w:t>verifi</w:t>
      </w:r>
      <w:r w:rsidR="003B48A2">
        <w:t>ed through comparison with empirical</w:t>
      </w:r>
      <w:r w:rsidR="001142F2">
        <w:t xml:space="preserve"> studies</w:t>
      </w:r>
      <w:r w:rsidR="00F36390">
        <w:t xml:space="preserve">. </w:t>
      </w:r>
      <w:r w:rsidR="003B48A2">
        <w:t xml:space="preserve"> </w:t>
      </w:r>
      <w:r w:rsidR="00F36390">
        <w:t>H</w:t>
      </w:r>
      <w:r w:rsidR="003B48A2">
        <w:t>owever</w:t>
      </w:r>
      <w:r w:rsidR="006F2D22">
        <w:t xml:space="preserve">, </w:t>
      </w:r>
      <w:r w:rsidRPr="00EA2786">
        <w:t>the wide</w:t>
      </w:r>
      <w:r w:rsidR="006F2D22">
        <w:t>r</w:t>
      </w:r>
      <w:r w:rsidRPr="00EA2786">
        <w:t xml:space="preserve"> use of MAPOD has been limited </w:t>
      </w:r>
      <w:r w:rsidR="00F36390">
        <w:t xml:space="preserve">due partly to the complexity of following the current </w:t>
      </w:r>
      <w:r w:rsidR="00D213F5">
        <w:t>practices</w:t>
      </w:r>
      <w:r w:rsidR="00F36390">
        <w:t xml:space="preserve"> and</w:t>
      </w:r>
      <w:r w:rsidR="00D213F5">
        <w:t xml:space="preserve"> existing</w:t>
      </w:r>
      <w:r w:rsidR="00F36390">
        <w:t xml:space="preserve"> limitations in </w:t>
      </w:r>
      <w:r w:rsidR="00D213F5">
        <w:t xml:space="preserve">NDE </w:t>
      </w:r>
      <w:r w:rsidR="00F36390">
        <w:t>simulation capability</w:t>
      </w:r>
      <w:r w:rsidRPr="00EA2786">
        <w:t>.</w:t>
      </w:r>
      <w:r>
        <w:t xml:space="preserve">  This paper presents a review of progress on improved methods </w:t>
      </w:r>
      <w:r w:rsidR="00F36390">
        <w:t xml:space="preserve">on MAPOD </w:t>
      </w:r>
      <w:r>
        <w:t>e</w:t>
      </w:r>
      <w:r w:rsidRPr="009313CA">
        <w:t xml:space="preserve">valuation </w:t>
      </w:r>
      <w:r w:rsidR="001142F2">
        <w:t>with an emphasis on</w:t>
      </w:r>
      <w:r w:rsidRPr="009313CA">
        <w:t xml:space="preserve"> </w:t>
      </w:r>
      <w:r w:rsidR="001142F2">
        <w:t xml:space="preserve">strategies to </w:t>
      </w:r>
      <w:r>
        <w:t>r</w:t>
      </w:r>
      <w:r w:rsidRPr="009313CA">
        <w:t xml:space="preserve">educe </w:t>
      </w:r>
      <w:r>
        <w:t>e</w:t>
      </w:r>
      <w:r w:rsidRPr="009313CA">
        <w:t xml:space="preserve">mpirical </w:t>
      </w:r>
      <w:r>
        <w:t>t</w:t>
      </w:r>
      <w:r w:rsidRPr="009313CA">
        <w:t>esting</w:t>
      </w:r>
      <w:r w:rsidR="001142F2">
        <w:t xml:space="preserve"> while maintaining </w:t>
      </w:r>
      <w:r w:rsidR="00F36390">
        <w:t xml:space="preserve">study </w:t>
      </w:r>
      <w:r w:rsidR="001142F2">
        <w:t>quality</w:t>
      </w:r>
      <w:r>
        <w:t>.</w:t>
      </w:r>
      <w:r w:rsidR="001142F2">
        <w:t xml:space="preserve">  </w:t>
      </w:r>
    </w:p>
    <w:p w14:paraId="3D5A7087" w14:textId="77777777" w:rsidR="001142F2" w:rsidRPr="005B0798" w:rsidRDefault="001142F2" w:rsidP="001142F2">
      <w:pPr>
        <w:pStyle w:val="BODYTEXTPAPERSUMMARY"/>
        <w:jc w:val="both"/>
      </w:pPr>
    </w:p>
    <w:p w14:paraId="395A6131" w14:textId="000B2EC9" w:rsidR="009C165E" w:rsidRPr="005B0798" w:rsidRDefault="009C165E" w:rsidP="005B0798">
      <w:pPr>
        <w:pStyle w:val="BODYTEXTPAPERSUMMARY"/>
      </w:pPr>
      <w:r w:rsidRPr="005B0798">
        <w:rPr>
          <w:b/>
        </w:rPr>
        <w:t>Keywords:</w:t>
      </w:r>
      <w:r w:rsidRPr="005B0798">
        <w:t xml:space="preserve"> </w:t>
      </w:r>
      <w:r w:rsidR="00EA2786">
        <w:t xml:space="preserve">Probability of detection (POD), </w:t>
      </w:r>
      <w:r w:rsidR="00D213F5">
        <w:t xml:space="preserve">model-assisted </w:t>
      </w:r>
      <w:r w:rsidR="00904F1D">
        <w:t>POD</w:t>
      </w:r>
      <w:r w:rsidR="00D213F5">
        <w:t xml:space="preserve"> (MAPOD)</w:t>
      </w:r>
      <w:r w:rsidR="00904F1D">
        <w:t>, models, testing</w:t>
      </w:r>
    </w:p>
    <w:p w14:paraId="5B4F5DA1" w14:textId="77777777" w:rsidR="009C165E" w:rsidRDefault="009C165E" w:rsidP="005B0798">
      <w:pPr>
        <w:pStyle w:val="BODYTEXTPAPERSUMMARY"/>
      </w:pPr>
    </w:p>
    <w:p w14:paraId="067E0F62" w14:textId="77777777" w:rsidR="00904F1D" w:rsidRDefault="00904F1D" w:rsidP="00904F1D">
      <w:pPr>
        <w:pStyle w:val="SUBHEAD1PAPERSUMMARY"/>
      </w:pPr>
      <w:r>
        <w:t>INTRODUCTION</w:t>
      </w:r>
    </w:p>
    <w:p w14:paraId="527CF666" w14:textId="41544AE3" w:rsidR="0023708E" w:rsidRDefault="003B48A2" w:rsidP="00904F1D">
      <w:pPr>
        <w:pStyle w:val="BODYTEXTPAPERSUMMARY"/>
        <w:jc w:val="both"/>
      </w:pPr>
      <w:r w:rsidRPr="003B48A2">
        <w:t xml:space="preserve">The build-up of specimens and experimental testing are frequently considered a significant burden in the validation of new inspection techniques. The preparation of POD samples with representative damage, such as fatigue cracks, in real parts, and the process to acquire a statistically significant number of measurements are often very </w:t>
      </w:r>
      <w:r w:rsidR="00B250AD">
        <w:t>time-consuming</w:t>
      </w:r>
      <w:r w:rsidRPr="003B48A2">
        <w:t xml:space="preserve"> and expensive. </w:t>
      </w:r>
      <w:r w:rsidRPr="009313CA">
        <w:t xml:space="preserve">A model-assisted probability of detection (MAPOD) approach for the design and execution of POD studies has been proposed to help mitigate the validation costs and to also improve the POD evaluation by addressing a wider array of inspection variables </w:t>
      </w:r>
      <w:r w:rsidRPr="00EA2786">
        <w:t>[1-</w:t>
      </w:r>
      <w:r w:rsidR="007329D7">
        <w:t>5</w:t>
      </w:r>
      <w:r w:rsidRPr="00EA2786">
        <w:t>]</w:t>
      </w:r>
      <w:r w:rsidRPr="003B48A2">
        <w:t xml:space="preserve">. Fundamentally, there is </w:t>
      </w:r>
      <w:r w:rsidR="00B250AD">
        <w:t xml:space="preserve">a </w:t>
      </w:r>
      <w:r w:rsidRPr="003B48A2">
        <w:t>significant opportunity in using either numerical simulations or empirically developed models to address variables that cannot be easily recreated in experimental studies.</w:t>
      </w:r>
      <w:r w:rsidR="000D02DE">
        <w:t xml:space="preserve">  </w:t>
      </w:r>
    </w:p>
    <w:p w14:paraId="314B6192" w14:textId="77777777" w:rsidR="0023708E" w:rsidRDefault="0023708E" w:rsidP="00904F1D">
      <w:pPr>
        <w:pStyle w:val="BODYTEXTPAPERSUMMARY"/>
        <w:jc w:val="both"/>
      </w:pPr>
    </w:p>
    <w:p w14:paraId="1C8F6153" w14:textId="14280F2E" w:rsidR="0023708E" w:rsidRPr="00F11493" w:rsidRDefault="003B48A2" w:rsidP="00F11493">
      <w:pPr>
        <w:pStyle w:val="BODYTEXTPAPERSUMMARY"/>
        <w:jc w:val="both"/>
      </w:pPr>
      <w:r>
        <w:rPr>
          <w:szCs w:val="24"/>
        </w:rPr>
        <w:t>Several</w:t>
      </w:r>
      <w:r w:rsidRPr="00C10BE6">
        <w:rPr>
          <w:szCs w:val="24"/>
        </w:rPr>
        <w:t xml:space="preserve"> methodologies have been proposed </w:t>
      </w:r>
      <w:r>
        <w:rPr>
          <w:szCs w:val="24"/>
        </w:rPr>
        <w:t xml:space="preserve">that can be classified as </w:t>
      </w:r>
      <w:r w:rsidRPr="00C10BE6">
        <w:rPr>
          <w:szCs w:val="24"/>
        </w:rPr>
        <w:t xml:space="preserve">model-assisted POD evaluations.  The transfer function </w:t>
      </w:r>
      <w:r>
        <w:rPr>
          <w:szCs w:val="24"/>
        </w:rPr>
        <w:t xml:space="preserve">(TF) </w:t>
      </w:r>
      <w:r w:rsidRPr="00C10BE6">
        <w:rPr>
          <w:szCs w:val="24"/>
        </w:rPr>
        <w:t xml:space="preserve">approach </w:t>
      </w:r>
      <w:r>
        <w:rPr>
          <w:szCs w:val="24"/>
        </w:rPr>
        <w:t>leverages</w:t>
      </w:r>
      <w:r w:rsidRPr="00C10BE6">
        <w:rPr>
          <w:szCs w:val="24"/>
        </w:rPr>
        <w:t xml:space="preserve"> an existing POD model for one inspection to address another similar inspection based on a limited number of new experimental measurements</w:t>
      </w:r>
      <w:r>
        <w:rPr>
          <w:szCs w:val="24"/>
        </w:rPr>
        <w:t>,</w:t>
      </w:r>
      <w:r w:rsidRPr="00C10BE6">
        <w:rPr>
          <w:szCs w:val="24"/>
        </w:rPr>
        <w:t xml:space="preserve"> studying a specific varying parameter.  </w:t>
      </w:r>
      <w:r>
        <w:rPr>
          <w:szCs w:val="24"/>
        </w:rPr>
        <w:t xml:space="preserve">This straightforward approach has the potential to address minor differences concerning the part material, flaw type, or even shape changes of the part under test; however, care must be taken to ensure that the transformation is appropriate given a limited set of experimental data.  This requires </w:t>
      </w:r>
      <w:r w:rsidR="000D02DE">
        <w:rPr>
          <w:szCs w:val="24"/>
        </w:rPr>
        <w:t>verifying</w:t>
      </w:r>
      <w:r>
        <w:rPr>
          <w:szCs w:val="24"/>
        </w:rPr>
        <w:t xml:space="preserve"> the statistical assumptions used in the analysis.  </w:t>
      </w:r>
      <w:r w:rsidRPr="00C10BE6">
        <w:rPr>
          <w:szCs w:val="24"/>
        </w:rPr>
        <w:t xml:space="preserve">This approach has been successfully demonstrated to transform POD results for EDM notch measurements in engine components </w:t>
      </w:r>
      <w:r>
        <w:rPr>
          <w:szCs w:val="24"/>
        </w:rPr>
        <w:t>[6]</w:t>
      </w:r>
      <w:r w:rsidR="00F5400E">
        <w:rPr>
          <w:szCs w:val="24"/>
        </w:rPr>
        <w:t>,</w:t>
      </w:r>
      <w:r w:rsidRPr="00C10BE6">
        <w:rPr>
          <w:szCs w:val="24"/>
        </w:rPr>
        <w:t xml:space="preserve"> aircraft structures </w:t>
      </w:r>
      <w:r>
        <w:rPr>
          <w:szCs w:val="24"/>
        </w:rPr>
        <w:t>[7]</w:t>
      </w:r>
      <w:r w:rsidRPr="00C10BE6">
        <w:rPr>
          <w:szCs w:val="24"/>
        </w:rPr>
        <w:t xml:space="preserve"> to parts with real cracking conditions</w:t>
      </w:r>
      <w:r w:rsidR="00F5400E">
        <w:rPr>
          <w:szCs w:val="24"/>
        </w:rPr>
        <w:t xml:space="preserve"> and </w:t>
      </w:r>
      <w:r w:rsidR="00BE64A5">
        <w:rPr>
          <w:szCs w:val="24"/>
        </w:rPr>
        <w:t>materials with</w:t>
      </w:r>
      <w:r w:rsidR="00AA340D">
        <w:rPr>
          <w:szCs w:val="24"/>
        </w:rPr>
        <w:t xml:space="preserve"> </w:t>
      </w:r>
      <w:r w:rsidR="00603159">
        <w:rPr>
          <w:szCs w:val="24"/>
        </w:rPr>
        <w:t xml:space="preserve">different grain noise levels </w:t>
      </w:r>
      <w:r w:rsidR="0038325E">
        <w:rPr>
          <w:szCs w:val="24"/>
        </w:rPr>
        <w:t>[</w:t>
      </w:r>
      <w:r w:rsidR="00456F7E">
        <w:rPr>
          <w:szCs w:val="24"/>
        </w:rPr>
        <w:t>8]</w:t>
      </w:r>
      <w:r w:rsidRPr="00C10BE6">
        <w:rPr>
          <w:szCs w:val="24"/>
        </w:rPr>
        <w:t>.</w:t>
      </w:r>
      <w:r>
        <w:rPr>
          <w:szCs w:val="24"/>
        </w:rPr>
        <w:t xml:space="preserve"> </w:t>
      </w:r>
      <w:r w:rsidRPr="00C10BE6">
        <w:rPr>
          <w:szCs w:val="24"/>
        </w:rPr>
        <w:t xml:space="preserve">The full-model assisted approach uses computer simulations to </w:t>
      </w:r>
      <w:r>
        <w:rPr>
          <w:szCs w:val="24"/>
        </w:rPr>
        <w:t>represent</w:t>
      </w:r>
      <w:r w:rsidRPr="00C10BE6">
        <w:rPr>
          <w:szCs w:val="24"/>
        </w:rPr>
        <w:t xml:space="preserve"> the inspection process and determines the POD for the inspection technique through a combination of experimental and simulated data.  This process can be found </w:t>
      </w:r>
      <w:r>
        <w:rPr>
          <w:szCs w:val="24"/>
        </w:rPr>
        <w:t xml:space="preserve">in an appendix </w:t>
      </w:r>
      <w:r w:rsidRPr="00C10BE6">
        <w:rPr>
          <w:szCs w:val="24"/>
        </w:rPr>
        <w:t>of the MIL-HNBK 1823A</w:t>
      </w:r>
      <w:r>
        <w:rPr>
          <w:szCs w:val="24"/>
        </w:rPr>
        <w:t xml:space="preserve"> [4]</w:t>
      </w:r>
      <w:r w:rsidRPr="00C10BE6">
        <w:rPr>
          <w:szCs w:val="24"/>
        </w:rPr>
        <w:t>.   For any POD study, the scope of the evaluation must be assessed</w:t>
      </w:r>
      <w:r>
        <w:rPr>
          <w:szCs w:val="24"/>
        </w:rPr>
        <w:t>,</w:t>
      </w:r>
      <w:r w:rsidRPr="00C10BE6">
        <w:rPr>
          <w:szCs w:val="24"/>
        </w:rPr>
        <w:t xml:space="preserve"> and all critical factors for the NDT technique, part material, part geometry, and discontinuity characteristics that control signal and noise must be identified.  </w:t>
      </w:r>
      <w:proofErr w:type="gramStart"/>
      <w:r w:rsidRPr="00C10BE6">
        <w:rPr>
          <w:szCs w:val="24"/>
        </w:rPr>
        <w:t>As well</w:t>
      </w:r>
      <w:proofErr w:type="gramEnd"/>
      <w:r w:rsidRPr="00C10BE6">
        <w:rPr>
          <w:szCs w:val="24"/>
        </w:rPr>
        <w:t>, the amount of variability, ideally as distribution functions, must be assessed through expert knowledge, experimental results and/or model-based studies.</w:t>
      </w:r>
      <w:r>
        <w:rPr>
          <w:szCs w:val="24"/>
        </w:rPr>
        <w:t xml:space="preserve">  A</w:t>
      </w:r>
      <w:r w:rsidRPr="008714C2">
        <w:rPr>
          <w:szCs w:val="24"/>
        </w:rPr>
        <w:t>t the final stage of the POD evaluation, experimental and</w:t>
      </w:r>
      <w:r>
        <w:rPr>
          <w:szCs w:val="24"/>
        </w:rPr>
        <w:t xml:space="preserve"> simulated measurement results</w:t>
      </w:r>
      <w:r w:rsidRPr="008714C2">
        <w:rPr>
          <w:szCs w:val="24"/>
        </w:rPr>
        <w:t xml:space="preserve"> </w:t>
      </w:r>
      <w:r>
        <w:rPr>
          <w:szCs w:val="24"/>
        </w:rPr>
        <w:t>are jointly evaluated to produce a combined estimate of the POD curve.</w:t>
      </w:r>
      <w:r w:rsidR="0023708E">
        <w:br w:type="page"/>
      </w:r>
    </w:p>
    <w:p w14:paraId="50DE98A0" w14:textId="786A2EB9" w:rsidR="003B48A2" w:rsidRDefault="003B48A2" w:rsidP="003B48A2">
      <w:pPr>
        <w:pStyle w:val="SUBHEAD1PAPERSUMMARY"/>
      </w:pPr>
      <w:r>
        <w:lastRenderedPageBreak/>
        <w:t>CHALLENGES WITH PRACTICAL APPLICATION</w:t>
      </w:r>
    </w:p>
    <w:p w14:paraId="0F5BAB38" w14:textId="5FDB10BB" w:rsidR="007C2693" w:rsidRDefault="003B48A2" w:rsidP="007C2693">
      <w:pPr>
        <w:pStyle w:val="BODYTEXTPAPERSUMMARY"/>
        <w:jc w:val="both"/>
      </w:pPr>
      <w:r w:rsidRPr="00EA2786">
        <w:t xml:space="preserve">While </w:t>
      </w:r>
      <w:r w:rsidRPr="00EA2786">
        <w:t>the MAPOD evaluation process has been documented in best practices [4-5] and MAPOD studies have been verified with experimental data [3,6</w:t>
      </w:r>
      <w:r w:rsidR="007329D7">
        <w:t>-</w:t>
      </w:r>
      <w:r w:rsidR="00C26217">
        <w:t>10</w:t>
      </w:r>
      <w:r w:rsidRPr="00EA2786">
        <w:t xml:space="preserve">], the wide use of MAPOD has been limited to date.  </w:t>
      </w:r>
      <w:r w:rsidR="007C2693">
        <w:t>Partly, this is due to some m</w:t>
      </w:r>
      <w:r w:rsidR="007C2693" w:rsidRPr="007C2693">
        <w:t xml:space="preserve">isunderstanding of </w:t>
      </w:r>
      <w:r w:rsidR="007C2693">
        <w:t>w</w:t>
      </w:r>
      <w:r w:rsidR="007C2693" w:rsidRPr="007C2693">
        <w:t xml:space="preserve">hat a MAPOD </w:t>
      </w:r>
      <w:r w:rsidR="007C2693">
        <w:t>e</w:t>
      </w:r>
      <w:r w:rsidR="007C2693" w:rsidRPr="007C2693">
        <w:t xml:space="preserve">valuation </w:t>
      </w:r>
      <w:r w:rsidR="007C2693">
        <w:t>i</w:t>
      </w:r>
      <w:r w:rsidR="007C2693" w:rsidRPr="007C2693">
        <w:t>nvolves</w:t>
      </w:r>
      <w:r w:rsidR="007C2693">
        <w:t>.  There are a number of papers in the</w:t>
      </w:r>
      <w:r w:rsidR="000D02DE">
        <w:t xml:space="preserve"> academic</w:t>
      </w:r>
      <w:r w:rsidR="007C2693">
        <w:t xml:space="preserve"> literature on NDE and SHM validation that infer that MAPOD </w:t>
      </w:r>
      <w:r w:rsidR="0023708E">
        <w:t>can be</w:t>
      </w:r>
      <w:r w:rsidR="007C2693">
        <w:t xml:space="preserve"> a “Model Only” evaluation, </w:t>
      </w:r>
      <w:r w:rsidR="00096208">
        <w:t>but this is an incorrect assumption</w:t>
      </w:r>
      <w:r w:rsidR="007C2693">
        <w:t xml:space="preserve">.  </w:t>
      </w:r>
      <w:r w:rsidR="000D02DE">
        <w:t>Fundamentally, t</w:t>
      </w:r>
      <w:r w:rsidR="007C2693">
        <w:t xml:space="preserve">here are certain aspects of the NDE and SHM techniques that cannot </w:t>
      </w:r>
      <w:r w:rsidR="0023708E">
        <w:t>be represented through simulation perfectly</w:t>
      </w:r>
      <w:r w:rsidR="007C2693">
        <w:t>, or there exists a good deal of uncertainty on the degree of var</w:t>
      </w:r>
      <w:r w:rsidR="0023708E">
        <w:t>iation in</w:t>
      </w:r>
      <w:r w:rsidR="007C2693">
        <w:t xml:space="preserve"> the NDE </w:t>
      </w:r>
      <w:r w:rsidR="00B250AD">
        <w:t>hardware/sensors</w:t>
      </w:r>
      <w:r w:rsidR="007C2693">
        <w:t xml:space="preserve">, the part </w:t>
      </w:r>
      <w:r w:rsidR="0023708E">
        <w:t xml:space="preserve">under test </w:t>
      </w:r>
      <w:r w:rsidR="007C2693">
        <w:t xml:space="preserve">or </w:t>
      </w:r>
      <w:r w:rsidR="0023708E">
        <w:t xml:space="preserve">expected </w:t>
      </w:r>
      <w:r w:rsidR="007C2693">
        <w:t>discontinuit</w:t>
      </w:r>
      <w:r w:rsidR="0023708E">
        <w:t>ies (shape, dimensions) of interest</w:t>
      </w:r>
      <w:r w:rsidR="007C2693">
        <w:t>.</w:t>
      </w:r>
      <w:r w:rsidRPr="00EA2786">
        <w:t xml:space="preserve"> </w:t>
      </w:r>
      <w:r w:rsidR="000D02DE">
        <w:t xml:space="preserve"> Because of this, some experimentation </w:t>
      </w:r>
      <w:r w:rsidR="0023708E">
        <w:t>will be</w:t>
      </w:r>
      <w:r w:rsidR="000D02DE">
        <w:t xml:space="preserve"> needed.  </w:t>
      </w:r>
      <w:r w:rsidR="007C2693">
        <w:t xml:space="preserve">Alternatively, because there is some “lack of experience” or possibly a “lack of trust” with the MAPOD process, organizations are </w:t>
      </w:r>
      <w:r w:rsidR="000D02DE">
        <w:t xml:space="preserve">often </w:t>
      </w:r>
      <w:r w:rsidR="007C2693">
        <w:t xml:space="preserve">still relying on full empirical POD studies.  POD studies are inherently a conservative </w:t>
      </w:r>
      <w:r w:rsidR="000D02DE">
        <w:t>endeavor,</w:t>
      </w:r>
      <w:r w:rsidR="007C2693">
        <w:t xml:space="preserve"> and it is not surprising that organizations would be hesitant to rely on MAPOD if they do</w:t>
      </w:r>
      <w:r w:rsidR="007329D7">
        <w:t xml:space="preserve"> not</w:t>
      </w:r>
      <w:r w:rsidR="007C2693">
        <w:t xml:space="preserve"> have </w:t>
      </w:r>
      <w:r w:rsidR="000D02DE">
        <w:t xml:space="preserve">much </w:t>
      </w:r>
      <w:r w:rsidR="007C2693">
        <w:t>experience with the process.</w:t>
      </w:r>
    </w:p>
    <w:p w14:paraId="29E17367" w14:textId="77777777" w:rsidR="007C2693" w:rsidRDefault="007C2693" w:rsidP="007C2693">
      <w:pPr>
        <w:pStyle w:val="BODYTEXTPAPERSUMMARY"/>
        <w:jc w:val="both"/>
      </w:pPr>
    </w:p>
    <w:p w14:paraId="54D3D276" w14:textId="50B7232C" w:rsidR="007C2693" w:rsidRDefault="007C2693" w:rsidP="007C2693">
      <w:pPr>
        <w:pStyle w:val="BODYTEXTPAPERSUMMARY"/>
        <w:jc w:val="both"/>
      </w:pPr>
      <w:r>
        <w:t xml:space="preserve">A related issue is there are </w:t>
      </w:r>
      <w:r w:rsidR="007329D7">
        <w:t xml:space="preserve">still some </w:t>
      </w:r>
      <w:r>
        <w:t>l</w:t>
      </w:r>
      <w:r w:rsidRPr="007C2693">
        <w:t xml:space="preserve">imitations with </w:t>
      </w:r>
      <w:r>
        <w:t>c</w:t>
      </w:r>
      <w:r w:rsidRPr="007C2693">
        <w:t xml:space="preserve">urrent </w:t>
      </w:r>
      <w:r>
        <w:t>NDE m</w:t>
      </w:r>
      <w:r w:rsidRPr="007C2693">
        <w:t xml:space="preserve">odeling and </w:t>
      </w:r>
      <w:r>
        <w:t>s</w:t>
      </w:r>
      <w:r w:rsidRPr="007C2693">
        <w:t xml:space="preserve">imulation </w:t>
      </w:r>
      <w:r>
        <w:t>c</w:t>
      </w:r>
      <w:r w:rsidRPr="007C2693">
        <w:t>apability</w:t>
      </w:r>
      <w:r>
        <w:t xml:space="preserve">.  Once key factors have been determined for the evaluation, an assessment is needed on whether to pursue a model-based POD evaluation based on the cost of a fully </w:t>
      </w:r>
      <w:r w:rsidR="00B250AD">
        <w:t>experimental</w:t>
      </w:r>
      <w:r>
        <w:t xml:space="preserve"> study and the performance of available NDE simulation tools.   Knowledge of the accuracy and speed of NDT simulations is a critical part of this assessment process.  Thus, an evaluation of the model quality is often necessary at this stage.  For many applications, there will be a mix of simulated and empirical studies that will provide the greatest coverage of the key factors for an inspection technique.  For example, certain parameters such as the dimensions and location of a crack in the test part can be more easily controlled and varied through simulated studies.  Alternatively, noise data from material specimens and measurement system noise can be evaluated quickly through </w:t>
      </w:r>
      <w:r w:rsidR="00B250AD">
        <w:t>low-cost</w:t>
      </w:r>
      <w:r>
        <w:t xml:space="preserve"> experimental studies.  From this perspective, a model-assisted POD evaluation has the potential to not only reduce the cost of a POD study through reduced test samples but also to improve the quality of the assessment by including physics-based models that fully address the key factors driving the evaluation process.</w:t>
      </w:r>
      <w:r w:rsidR="00F11493">
        <w:t xml:space="preserve">  </w:t>
      </w:r>
      <w:r>
        <w:t xml:space="preserve">Before models can be directly applied in POD evaluations, two steps are needed to ensure their performance. First, model calibration involves model adjustments to variables in a way that mimics the NDE technique procedure. In many cases, gains and thresholds are set based on the desired response to a known calibration standard. </w:t>
      </w:r>
      <w:r w:rsidR="00B250AD">
        <w:t xml:space="preserve">The parameters </w:t>
      </w:r>
      <w:r>
        <w:t xml:space="preserve">of the model are essentially fit to obtain the best match with a limited set of empirical data acquired per a calibration procedure. Second, model validation is a critical step that ensures the simulated results do agree with </w:t>
      </w:r>
      <w:r w:rsidR="00B250AD">
        <w:t>well-controlled</w:t>
      </w:r>
      <w:r>
        <w:t xml:space="preserve"> studies for the appropriate range of conditions expected in practice. One approach is to simply require a certain level of agreement between a limited set of experimental and simulated results.  However, it may be very difficult for models to achieve a fixed level of accuracy over the entire parameter range(s) of interest.  Thus, statistical evaluation of ‘model error’ with uncertainty bounds for the key varying parameters should be carefully assessed and clearly reported.  Thus, </w:t>
      </w:r>
      <w:r w:rsidR="00455EE9">
        <w:t xml:space="preserve">the </w:t>
      </w:r>
      <w:r>
        <w:t>numerical model error can be properly included in the model-assisted POD evaluation process.</w:t>
      </w:r>
      <w:r w:rsidR="007329D7">
        <w:t xml:space="preserve">  </w:t>
      </w:r>
      <w:r w:rsidR="00F11493">
        <w:t>T</w:t>
      </w:r>
      <w:r w:rsidR="007329D7">
        <w:t>his level of model validation requires great care, which takes considerable time and engineering resources.</w:t>
      </w:r>
    </w:p>
    <w:p w14:paraId="29616910" w14:textId="77777777" w:rsidR="007C2693" w:rsidRDefault="007C2693" w:rsidP="003B48A2">
      <w:pPr>
        <w:pStyle w:val="BODYTEXTPAPERSUMMARY"/>
        <w:jc w:val="both"/>
      </w:pPr>
    </w:p>
    <w:p w14:paraId="59E6CCEB" w14:textId="207DD5A3" w:rsidR="000D02DE" w:rsidRDefault="000D02DE" w:rsidP="00765CE5">
      <w:pPr>
        <w:pStyle w:val="BODYTEXTPAPERSUMMARY"/>
        <w:jc w:val="both"/>
      </w:pPr>
      <w:r>
        <w:t>Lastly, better procedures are needed at this stage to ascertain the precise specimen and testing requirements to fill any gaps present with the model</w:t>
      </w:r>
      <w:r w:rsidR="0023708E">
        <w:t xml:space="preserve"> or knowledge on the technique variability</w:t>
      </w:r>
      <w:r>
        <w:t xml:space="preserve">.  A necessary component of a MAPOD evaluation is the assessment and propagation of variability in the parameter conditions and the uncertainty in the POD assessment.  Experimental-based POD evaluations always consider the impact of limited samples on the confidence bounds for a POD model fit.  However, with numerical models, statistical uncertainty (quantified by confidence bounds) can clearly be driven to zero through performing a large number of simulations.  There are other sources of uncertainty in the model predictions that are also present. These sources will affect </w:t>
      </w:r>
      <w:r w:rsidR="007329D7">
        <w:t xml:space="preserve">the </w:t>
      </w:r>
      <w:r>
        <w:t xml:space="preserve">predictions of </w:t>
      </w:r>
      <w:proofErr w:type="gramStart"/>
      <w:r>
        <w:t>POD, and</w:t>
      </w:r>
      <w:proofErr w:type="gramEnd"/>
      <w:r>
        <w:t xml:space="preserve"> must be handled properly.  As part of quantifying the effects of changing the key factors, the amount of variation of each factor must be well understood. Variability in NDE measurements is prevalent due to varying part geometries, material properties, surface conditions, flaw morphology, NDE hardware and human factors. A typical representation of variability for an input factor or condition is a probability density function (pdf).  In addition, confidence bounds for </w:t>
      </w:r>
      <w:r>
        <w:lastRenderedPageBreak/>
        <w:t>the pdf may be considered as variation measures of the pdf distribution parameters.  Unfortunately, this rigor is needed, but it clearly can be a burden when getting started on a MAPOD evaluation.</w:t>
      </w:r>
    </w:p>
    <w:p w14:paraId="57B5CA19" w14:textId="77777777" w:rsidR="0023708E" w:rsidRDefault="0023708E" w:rsidP="00765CE5">
      <w:pPr>
        <w:pStyle w:val="BODYTEXTPAPERSUMMARY"/>
        <w:jc w:val="both"/>
      </w:pPr>
    </w:p>
    <w:p w14:paraId="598175F8" w14:textId="5AEB6227" w:rsidR="003B48A2" w:rsidRDefault="003B48A2" w:rsidP="003B48A2">
      <w:pPr>
        <w:pStyle w:val="SUBHEAD1PAPERSUMMARY"/>
      </w:pPr>
      <w:r>
        <w:t xml:space="preserve">GENERAL METHODOLOGY </w:t>
      </w:r>
      <w:r w:rsidR="0023708E">
        <w:t>FOR MAPOD WITH</w:t>
      </w:r>
      <w:r>
        <w:t xml:space="preserve"> REDUCE</w:t>
      </w:r>
      <w:r w:rsidR="0023708E">
        <w:t>D</w:t>
      </w:r>
      <w:r>
        <w:t xml:space="preserve"> EMPIRICAL TESTING</w:t>
      </w:r>
    </w:p>
    <w:p w14:paraId="1AD4210F" w14:textId="577A83B9" w:rsidR="0023708E" w:rsidRDefault="000D02DE" w:rsidP="00765CE5">
      <w:pPr>
        <w:pStyle w:val="BODYTEXTPAPERSUMMARY"/>
        <w:jc w:val="both"/>
      </w:pPr>
      <w:r>
        <w:t>To mitigate specimen</w:t>
      </w:r>
      <w:r w:rsidR="007329D7">
        <w:t xml:space="preserve"> number</w:t>
      </w:r>
      <w:r w:rsidR="0023708E">
        <w:t xml:space="preserve"> and testing</w:t>
      </w:r>
      <w:r w:rsidR="007329D7">
        <w:t xml:space="preserve"> requirements</w:t>
      </w:r>
      <w:r>
        <w:t>, new protocol</w:t>
      </w:r>
      <w:r w:rsidR="0023708E">
        <w:t>s</w:t>
      </w:r>
      <w:r>
        <w:t xml:space="preserve"> for </w:t>
      </w:r>
      <w:r w:rsidRPr="00543BA0">
        <w:t>Limited Set POD</w:t>
      </w:r>
      <w:r w:rsidR="007329D7">
        <w:t xml:space="preserve"> [</w:t>
      </w:r>
      <w:r w:rsidR="000E4B5F">
        <w:t>1</w:t>
      </w:r>
      <w:r w:rsidR="00C26217">
        <w:t>1</w:t>
      </w:r>
      <w:r w:rsidR="007329D7">
        <w:t>]</w:t>
      </w:r>
      <w:r w:rsidRPr="00543BA0">
        <w:t xml:space="preserve"> </w:t>
      </w:r>
      <w:r>
        <w:t>and Transfer Function POD</w:t>
      </w:r>
      <w:r w:rsidR="007329D7">
        <w:t xml:space="preserve"> [</w:t>
      </w:r>
      <w:r w:rsidR="000E4B5F">
        <w:t>1</w:t>
      </w:r>
      <w:r w:rsidR="00C26217">
        <w:t>2</w:t>
      </w:r>
      <w:r w:rsidR="007329D7">
        <w:t>]</w:t>
      </w:r>
      <w:r w:rsidR="0023708E">
        <w:t>, potentially</w:t>
      </w:r>
      <w:r>
        <w:t xml:space="preserve"> </w:t>
      </w:r>
      <w:r w:rsidR="0023708E">
        <w:t xml:space="preserve">incorporating models </w:t>
      </w:r>
      <w:r w:rsidR="007329D7">
        <w:t>[</w:t>
      </w:r>
      <w:r w:rsidR="000E4B5F">
        <w:t>1</w:t>
      </w:r>
      <w:r w:rsidR="00C26217">
        <w:t>3</w:t>
      </w:r>
      <w:r w:rsidR="007329D7">
        <w:t xml:space="preserve">], </w:t>
      </w:r>
      <w:r>
        <w:t xml:space="preserve">have been </w:t>
      </w:r>
      <w:r w:rsidR="0023708E">
        <w:t xml:space="preserve">proposed </w:t>
      </w:r>
      <w:r w:rsidRPr="00543BA0">
        <w:t>to minimize validation cost and time</w:t>
      </w:r>
      <w:r>
        <w:t xml:space="preserve">.  </w:t>
      </w:r>
      <w:r w:rsidR="0023708E">
        <w:t xml:space="preserve">Building on past and this recent work, </w:t>
      </w:r>
      <w:r w:rsidR="00765CE5">
        <w:t xml:space="preserve">Figure 1 highlights a new comprehensive approach to </w:t>
      </w:r>
      <w:r w:rsidR="00B250AD">
        <w:t xml:space="preserve">implementing </w:t>
      </w:r>
      <w:r w:rsidR="00765CE5">
        <w:t xml:space="preserve">model-assisted POD evaluation with various strategies for reducing empirical testing.  </w:t>
      </w:r>
      <w:r w:rsidR="007329D7">
        <w:t xml:space="preserve">The process considers key factors, NDT modeling capability for these factors, and any available test specimens or related POD studies that have been performed.  At this stage, the opportunities for the application of models are considered.  </w:t>
      </w:r>
      <w:r w:rsidR="0023708E">
        <w:t xml:space="preserve">For example, </w:t>
      </w:r>
      <w:r w:rsidR="0023708E" w:rsidRPr="00543BA0">
        <w:t>Limited Set POD is a highly desirable approach to minimize validation cost and time [</w:t>
      </w:r>
      <w:r w:rsidR="00AF6820">
        <w:t>1</w:t>
      </w:r>
      <w:r w:rsidR="00C26217">
        <w:t>1</w:t>
      </w:r>
      <w:r w:rsidR="0023708E" w:rsidRPr="00543BA0">
        <w:t xml:space="preserve">]. </w:t>
      </w:r>
      <w:r w:rsidR="0023708E">
        <w:t xml:space="preserve"> </w:t>
      </w:r>
      <w:r w:rsidR="00765CE5" w:rsidRPr="00543BA0">
        <w:t xml:space="preserve">However, </w:t>
      </w:r>
      <w:r w:rsidR="00765CE5">
        <w:t>the feasibility of</w:t>
      </w:r>
      <w:r w:rsidR="00765CE5" w:rsidRPr="00543BA0">
        <w:t xml:space="preserve"> a limited set POD study is </w:t>
      </w:r>
      <w:r w:rsidR="00765CE5">
        <w:t xml:space="preserve">dependent on an understanding of the physics of the NDE technique and sensitivity for varying flaw </w:t>
      </w:r>
      <w:r w:rsidR="00B250AD">
        <w:t>sizes</w:t>
      </w:r>
      <w:r w:rsidR="00765CE5">
        <w:t>.  Models have the potential to guide limited sample selection and consider if a limited sample study is even feasible.  R</w:t>
      </w:r>
      <w:r w:rsidR="00765CE5" w:rsidRPr="00543BA0">
        <w:t xml:space="preserve">eplacing a linear statistical model fit with a physics-based model will reduce confidence bounds on assessment </w:t>
      </w:r>
      <w:r w:rsidR="00D676CF">
        <w:t>and could help</w:t>
      </w:r>
      <w:r w:rsidR="00765CE5" w:rsidRPr="00543BA0">
        <w:t xml:space="preserve"> </w:t>
      </w:r>
      <w:r w:rsidR="00765CE5">
        <w:t>reduce</w:t>
      </w:r>
      <w:r w:rsidR="00765CE5" w:rsidRPr="00543BA0">
        <w:t xml:space="preserve"> specimen</w:t>
      </w:r>
      <w:r w:rsidR="00D676CF">
        <w:t xml:space="preserve"> requirements</w:t>
      </w:r>
      <w:r w:rsidR="00765CE5" w:rsidRPr="00543BA0">
        <w:t>.</w:t>
      </w:r>
      <w:r w:rsidR="0023708E">
        <w:t xml:space="preserve"> </w:t>
      </w:r>
      <w:r w:rsidR="00765CE5">
        <w:t xml:space="preserve">Second, </w:t>
      </w:r>
      <w:r w:rsidR="00765CE5">
        <w:rPr>
          <w:szCs w:val="24"/>
        </w:rPr>
        <w:t>t</w:t>
      </w:r>
      <w:r w:rsidR="00765CE5" w:rsidRPr="00C10BE6">
        <w:rPr>
          <w:szCs w:val="24"/>
        </w:rPr>
        <w:t xml:space="preserve">he transfer </w:t>
      </w:r>
      <w:r w:rsidR="00765CE5" w:rsidRPr="00C10BE6">
        <w:rPr>
          <w:szCs w:val="24"/>
        </w:rPr>
        <w:t xml:space="preserve">function </w:t>
      </w:r>
      <w:r w:rsidR="00765CE5">
        <w:rPr>
          <w:szCs w:val="24"/>
        </w:rPr>
        <w:t xml:space="preserve">(TF) </w:t>
      </w:r>
      <w:r w:rsidR="00765CE5" w:rsidRPr="00C10BE6">
        <w:rPr>
          <w:szCs w:val="24"/>
        </w:rPr>
        <w:t xml:space="preserve">approach </w:t>
      </w:r>
      <w:r w:rsidR="007329D7">
        <w:rPr>
          <w:szCs w:val="24"/>
        </w:rPr>
        <w:t xml:space="preserve">can </w:t>
      </w:r>
      <w:r w:rsidR="00765CE5">
        <w:rPr>
          <w:szCs w:val="24"/>
        </w:rPr>
        <w:t>leverage</w:t>
      </w:r>
      <w:r w:rsidR="00765CE5" w:rsidRPr="00C10BE6">
        <w:rPr>
          <w:szCs w:val="24"/>
        </w:rPr>
        <w:t xml:space="preserve"> an existing POD model for one inspection to address another similar inspection based on a limited number of new experiment</w:t>
      </w:r>
      <w:r w:rsidR="00765CE5">
        <w:rPr>
          <w:szCs w:val="24"/>
        </w:rPr>
        <w:t xml:space="preserve">s, addressing differences for example flaw type and/or part state.  </w:t>
      </w:r>
      <w:r w:rsidR="0023708E">
        <w:rPr>
          <w:szCs w:val="24"/>
        </w:rPr>
        <w:t xml:space="preserve">To support this approach, models and statistical methods can be used to verify that the transformation is appropriate and that assumptions are met. </w:t>
      </w:r>
      <w:r w:rsidR="00765CE5">
        <w:rPr>
          <w:szCs w:val="24"/>
        </w:rPr>
        <w:t xml:space="preserve">Care must be taken </w:t>
      </w:r>
      <w:r w:rsidR="0023708E">
        <w:rPr>
          <w:szCs w:val="24"/>
        </w:rPr>
        <w:t xml:space="preserve">to ensure </w:t>
      </w:r>
      <w:r w:rsidR="00765CE5">
        <w:rPr>
          <w:szCs w:val="24"/>
        </w:rPr>
        <w:t xml:space="preserve">the transform between </w:t>
      </w:r>
      <w:r w:rsidR="00B250AD">
        <w:rPr>
          <w:szCs w:val="24"/>
        </w:rPr>
        <w:t xml:space="preserve">the </w:t>
      </w:r>
      <w:r w:rsidR="00765CE5">
        <w:rPr>
          <w:szCs w:val="24"/>
        </w:rPr>
        <w:t xml:space="preserve">ideal (e.g. EDM notches) </w:t>
      </w:r>
      <w:r w:rsidR="00455EE9">
        <w:rPr>
          <w:szCs w:val="24"/>
        </w:rPr>
        <w:t xml:space="preserve">and </w:t>
      </w:r>
      <w:r w:rsidR="00765CE5">
        <w:rPr>
          <w:szCs w:val="24"/>
        </w:rPr>
        <w:t xml:space="preserve">real flaws (fatigue cracks) works well. </w:t>
      </w:r>
      <w:r w:rsidR="00F11493">
        <w:rPr>
          <w:szCs w:val="24"/>
        </w:rPr>
        <w:t xml:space="preserve"> </w:t>
      </w:r>
      <w:r w:rsidR="00F11493">
        <w:rPr>
          <w:szCs w:val="24"/>
        </w:rPr>
        <w:t xml:space="preserve">Third, </w:t>
      </w:r>
      <w:r w:rsidR="00F11493" w:rsidRPr="0023708E">
        <w:rPr>
          <w:szCs w:val="24"/>
        </w:rPr>
        <w:t xml:space="preserve">Bayesian </w:t>
      </w:r>
      <w:r w:rsidR="00F11493">
        <w:rPr>
          <w:szCs w:val="24"/>
        </w:rPr>
        <w:t>estimation</w:t>
      </w:r>
      <w:r w:rsidR="00F11493" w:rsidRPr="0023708E">
        <w:rPr>
          <w:szCs w:val="24"/>
        </w:rPr>
        <w:t xml:space="preserve"> </w:t>
      </w:r>
      <w:r w:rsidR="00F11493">
        <w:rPr>
          <w:szCs w:val="24"/>
        </w:rPr>
        <w:t>is</w:t>
      </w:r>
      <w:r w:rsidR="00F11493" w:rsidRPr="0023708E">
        <w:rPr>
          <w:szCs w:val="24"/>
        </w:rPr>
        <w:t xml:space="preserve"> well suited to integrate limited empirical data with NDE models including prior information and parameter distributions for POD evaluations.  Bayesian analysis is a statistical approach for evaluating a “posterior” distribution of model parameters through combining information in the prior distribution with new evidence according to Bayes’ theorem.  Bayesian methods can be leveraged here for the evaluation of three key components of the methodology: (1) evaluation of variability for an input factor or condition as a probability density function (pdf), (2) model calibration, and (3) revised measurement model estimates with limited experimental data</w:t>
      </w:r>
      <w:r w:rsidR="00F11493">
        <w:rPr>
          <w:szCs w:val="24"/>
        </w:rPr>
        <w:t xml:space="preserve"> [9, 14]</w:t>
      </w:r>
      <w:r w:rsidR="00F11493" w:rsidRPr="0023708E">
        <w:rPr>
          <w:szCs w:val="24"/>
        </w:rPr>
        <w:t>.</w:t>
      </w:r>
      <w:r w:rsidR="00F11493">
        <w:rPr>
          <w:szCs w:val="24"/>
        </w:rPr>
        <w:t xml:space="preserve">  Lastly, the use of adaptive POD studies is also proposed.  By breaking up traditionally large empirical POD studies into a series of smaller studies with possible off-ramps, it may be feasible to achieve the desired evaluation result with limited testing, if the performance criteria and sample assumptions are verified.  Additional </w:t>
      </w:r>
      <w:r w:rsidR="00F11493" w:rsidRPr="0023708E">
        <w:rPr>
          <w:szCs w:val="24"/>
        </w:rPr>
        <w:t xml:space="preserve">empirical data </w:t>
      </w:r>
      <w:r w:rsidR="00F11493">
        <w:rPr>
          <w:szCs w:val="24"/>
        </w:rPr>
        <w:t>would only be acquired as needed.</w:t>
      </w:r>
    </w:p>
    <w:p w14:paraId="7979BFE2" w14:textId="77777777" w:rsidR="00904F1D" w:rsidRPr="00F11493" w:rsidRDefault="00904F1D" w:rsidP="00904F1D">
      <w:pPr>
        <w:jc w:val="both"/>
        <w:rPr>
          <w:rFonts w:ascii="Calibri" w:eastAsia="Calibri" w:hAnsi="Calibri"/>
          <w:sz w:val="18"/>
          <w:szCs w:val="20"/>
        </w:rPr>
      </w:pPr>
    </w:p>
    <w:p w14:paraId="5FF5CB22" w14:textId="3E235BD8" w:rsidR="00904F1D" w:rsidRDefault="00904F1D" w:rsidP="00904F1D">
      <w:pPr>
        <w:pStyle w:val="BODYTEXTPAPERSUMMARY"/>
        <w:rPr>
          <w:rFonts w:ascii="Calibri" w:eastAsia="Calibri" w:hAnsi="Calibri"/>
          <w:sz w:val="22"/>
          <w:szCs w:val="22"/>
        </w:rPr>
      </w:pPr>
      <w:r w:rsidRPr="00904F1D">
        <w:rPr>
          <w:noProof/>
          <w:lang w:eastAsia="zh-CN"/>
        </w:rPr>
        <w:drawing>
          <wp:inline distT="0" distB="0" distL="0" distR="0" wp14:anchorId="464AFC02" wp14:editId="56831AB2">
            <wp:extent cx="5706094" cy="2856649"/>
            <wp:effectExtent l="0" t="0" r="0" b="1270"/>
            <wp:docPr id="803204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856" cy="2858532"/>
                    </a:xfrm>
                    <a:prstGeom prst="rect">
                      <a:avLst/>
                    </a:prstGeom>
                    <a:noFill/>
                    <a:ln>
                      <a:noFill/>
                    </a:ln>
                  </pic:spPr>
                </pic:pic>
              </a:graphicData>
            </a:graphic>
          </wp:inline>
        </w:drawing>
      </w:r>
    </w:p>
    <w:p w14:paraId="0E5488F6" w14:textId="77777777" w:rsidR="00765CE5" w:rsidRPr="00F11493" w:rsidRDefault="00765CE5" w:rsidP="00904F1D">
      <w:pPr>
        <w:pStyle w:val="BODYTEXTPAPERSUMMARY"/>
        <w:rPr>
          <w:rFonts w:ascii="Calibri" w:eastAsia="Calibri" w:hAnsi="Calibri"/>
          <w:sz w:val="8"/>
          <w:szCs w:val="8"/>
        </w:rPr>
      </w:pPr>
    </w:p>
    <w:p w14:paraId="76089F21" w14:textId="7F09BBCB" w:rsidR="00904F1D" w:rsidRPr="00765CE5" w:rsidRDefault="00904F1D" w:rsidP="00904F1D">
      <w:pPr>
        <w:pStyle w:val="BODYTEXTPAPERSUMMARY"/>
        <w:rPr>
          <w:b/>
        </w:rPr>
      </w:pPr>
      <w:r w:rsidRPr="00765CE5">
        <w:rPr>
          <w:b/>
        </w:rPr>
        <w:t xml:space="preserve">Figure </w:t>
      </w:r>
      <w:r w:rsidR="00765CE5">
        <w:rPr>
          <w:b/>
        </w:rPr>
        <w:t>1</w:t>
      </w:r>
      <w:r w:rsidRPr="00765CE5">
        <w:rPr>
          <w:b/>
        </w:rPr>
        <w:t>. Proposed methods for improved model-assisted POD evaluation with reduced empirical testing.</w:t>
      </w:r>
    </w:p>
    <w:p w14:paraId="07A62A1F" w14:textId="02BDBD17" w:rsidR="001142F2" w:rsidRDefault="001142F2" w:rsidP="001142F2">
      <w:pPr>
        <w:pStyle w:val="SUBHEAD1PAPERSUMMARY"/>
      </w:pPr>
      <w:r>
        <w:lastRenderedPageBreak/>
        <w:t>FUTURE DIRECTIONS</w:t>
      </w:r>
    </w:p>
    <w:p w14:paraId="51BA0194" w14:textId="089150DF" w:rsidR="001142F2" w:rsidRDefault="001142F2" w:rsidP="00D676CF">
      <w:pPr>
        <w:pStyle w:val="BODYTEXTPAPERSUMMARY"/>
        <w:jc w:val="both"/>
      </w:pPr>
      <w:r w:rsidRPr="00EA2786">
        <w:t xml:space="preserve">Research and engineering work </w:t>
      </w:r>
      <w:r w:rsidR="00D676CF">
        <w:t xml:space="preserve">is planned </w:t>
      </w:r>
      <w:r w:rsidRPr="00EA2786">
        <w:t xml:space="preserve">to improve </w:t>
      </w:r>
      <w:r w:rsidR="00B250AD">
        <w:t xml:space="preserve">the </w:t>
      </w:r>
      <w:r w:rsidR="00DB2D47">
        <w:t>overall methodology of MAP</w:t>
      </w:r>
      <w:r w:rsidR="00096208">
        <w:t>O</w:t>
      </w:r>
      <w:r w:rsidR="00DB2D47">
        <w:t xml:space="preserve">D.  For example, work is planned on </w:t>
      </w:r>
      <w:r w:rsidRPr="00EA2786">
        <w:t xml:space="preserve">the design of </w:t>
      </w:r>
      <w:r w:rsidR="00B250AD">
        <w:t xml:space="preserve">a </w:t>
      </w:r>
      <w:r w:rsidRPr="00EA2786">
        <w:t>limited set and adaptive POD studies by leveraging NDE models</w:t>
      </w:r>
      <w:r w:rsidR="00DB2D47">
        <w:t xml:space="preserve">.  </w:t>
      </w:r>
      <w:proofErr w:type="gramStart"/>
      <w:r w:rsidR="00DB2D47">
        <w:t>As well</w:t>
      </w:r>
      <w:proofErr w:type="gramEnd"/>
      <w:r w:rsidR="00DB2D47">
        <w:t xml:space="preserve">, work is planned to </w:t>
      </w:r>
      <w:r w:rsidRPr="00EA2786">
        <w:t>develop best practices for managing variability and uncertainty for transfer function (TF), full-model assisted evaluation and hybrid (experiment +</w:t>
      </w:r>
      <w:r w:rsidR="00DB2D47">
        <w:t xml:space="preserve"> </w:t>
      </w:r>
      <w:r w:rsidRPr="00EA2786">
        <w:t>model TF) approaches</w:t>
      </w:r>
      <w:r w:rsidR="003545DC">
        <w:t xml:space="preserve">.  </w:t>
      </w:r>
      <w:r w:rsidR="00DB2D47">
        <w:t>Lastly</w:t>
      </w:r>
      <w:r w:rsidR="003545DC">
        <w:t xml:space="preserve">, </w:t>
      </w:r>
      <w:r w:rsidR="00B250AD">
        <w:t xml:space="preserve">the </w:t>
      </w:r>
      <w:r w:rsidR="003545DC">
        <w:t xml:space="preserve">work </w:t>
      </w:r>
      <w:r w:rsidR="00DB2D47">
        <w:t xml:space="preserve">will investigate benchmarking studies assessing </w:t>
      </w:r>
      <w:r w:rsidRPr="00EA2786">
        <w:t xml:space="preserve">NDE model capability, </w:t>
      </w:r>
      <w:proofErr w:type="gramStart"/>
      <w:r w:rsidRPr="00EA2786">
        <w:t>accuracy</w:t>
      </w:r>
      <w:proofErr w:type="gramEnd"/>
      <w:r w:rsidRPr="00EA2786">
        <w:t xml:space="preserve"> and computational time</w:t>
      </w:r>
      <w:r w:rsidR="00DB2D47">
        <w:t>, for a select set of case study problems</w:t>
      </w:r>
      <w:r w:rsidR="003545DC">
        <w:t xml:space="preserve">.  </w:t>
      </w:r>
    </w:p>
    <w:p w14:paraId="68EB663E" w14:textId="77777777" w:rsidR="001142F2" w:rsidRPr="005B0798" w:rsidRDefault="001142F2" w:rsidP="005B0798">
      <w:pPr>
        <w:pStyle w:val="BODYTEXTPAPERSUMMARY"/>
      </w:pPr>
    </w:p>
    <w:p w14:paraId="3E79A9C7" w14:textId="5BB6F3D2" w:rsidR="009739DC" w:rsidRPr="0054621D" w:rsidRDefault="004F5426" w:rsidP="0054621D">
      <w:pPr>
        <w:pStyle w:val="SUBHEAD1PAPERSUMMARY"/>
      </w:pPr>
      <w:r>
        <w:t>REFERENCES</w:t>
      </w:r>
    </w:p>
    <w:p w14:paraId="0BC608DC" w14:textId="21CAF3B9" w:rsidR="0054729C" w:rsidRDefault="0054729C" w:rsidP="0054729C">
      <w:pPr>
        <w:pStyle w:val="BODYTEXTPAPERSUMMARY"/>
        <w:numPr>
          <w:ilvl w:val="0"/>
          <w:numId w:val="5"/>
        </w:numPr>
      </w:pPr>
      <w:r>
        <w:t xml:space="preserve">Gray, J.N., T.A. Gray, N. </w:t>
      </w:r>
      <w:proofErr w:type="gramStart"/>
      <w:r>
        <w:t>Nakagawa</w:t>
      </w:r>
      <w:proofErr w:type="gramEnd"/>
      <w:r>
        <w:t xml:space="preserve"> and R.B. Thompson, “Models for Predicting NDE Reliability,” Nondestructive Evaluation and Quality Control, Metals Handbook 17, ASM </w:t>
      </w:r>
      <w:r w:rsidR="00F11493">
        <w:t>Int.</w:t>
      </w:r>
      <w:r>
        <w:t>, Ohio, (1989), pp 702-715.</w:t>
      </w:r>
    </w:p>
    <w:p w14:paraId="474E9F9C" w14:textId="77777777" w:rsidR="0054729C" w:rsidRDefault="0054729C" w:rsidP="0054729C">
      <w:pPr>
        <w:pStyle w:val="BODYTEXTPAPERSUMMARY"/>
        <w:numPr>
          <w:ilvl w:val="0"/>
          <w:numId w:val="5"/>
        </w:numPr>
      </w:pPr>
      <w:r>
        <w:t>Thompson, R. B., “Using Physical Models of the Testing Process in Determination of Probability of Detection,” Materials Evaluation, Vol. 69, No. 7, (2001), pp. 861-865.</w:t>
      </w:r>
    </w:p>
    <w:p w14:paraId="2E4E0CA6" w14:textId="77777777" w:rsidR="0054729C" w:rsidRDefault="0054729C" w:rsidP="0054729C">
      <w:pPr>
        <w:pStyle w:val="BODYTEXTPAPERSUMMARY"/>
        <w:numPr>
          <w:ilvl w:val="0"/>
          <w:numId w:val="5"/>
        </w:numPr>
      </w:pPr>
      <w:r>
        <w:t>Thompson, R. B., “A unified approach to the model-assisted determination of probability of detection”, Materials Evaluation, Vol. 66, (2008), pp. 667-673.</w:t>
      </w:r>
    </w:p>
    <w:p w14:paraId="03480224" w14:textId="77777777" w:rsidR="0054729C" w:rsidRDefault="0054729C" w:rsidP="0054729C">
      <w:pPr>
        <w:pStyle w:val="BODYTEXTPAPERSUMMARY"/>
        <w:numPr>
          <w:ilvl w:val="0"/>
          <w:numId w:val="5"/>
        </w:numPr>
      </w:pPr>
      <w:r>
        <w:t>U.S. Department of Defense, Handbook, Nondestructive Evaluation System Reliability Assessment, MIL-HDBK-1823A, (7 April 2009).</w:t>
      </w:r>
    </w:p>
    <w:p w14:paraId="7C86DDA4" w14:textId="77777777" w:rsidR="0054729C" w:rsidRDefault="0054729C" w:rsidP="0054729C">
      <w:pPr>
        <w:pStyle w:val="BODYTEXTPAPERSUMMARY"/>
        <w:numPr>
          <w:ilvl w:val="0"/>
          <w:numId w:val="5"/>
        </w:numPr>
      </w:pPr>
      <w:r>
        <w:t xml:space="preserve">Chapuis, B., </w:t>
      </w:r>
      <w:proofErr w:type="spellStart"/>
      <w:r>
        <w:t>Calmon</w:t>
      </w:r>
      <w:proofErr w:type="spellEnd"/>
      <w:r>
        <w:t>, P., and Jenson, F, Best practices for the use of simulation in POD curves estimation. Springer International Publishing, (2018).</w:t>
      </w:r>
    </w:p>
    <w:p w14:paraId="25F65331" w14:textId="77777777" w:rsidR="0023708E" w:rsidRDefault="0023708E" w:rsidP="0023708E">
      <w:pPr>
        <w:pStyle w:val="BODYTEXTPAPERSUMMARY"/>
        <w:numPr>
          <w:ilvl w:val="0"/>
          <w:numId w:val="5"/>
        </w:numPr>
      </w:pPr>
      <w:r>
        <w:t xml:space="preserve">Smith, K. D., Thompson, R. B. and </w:t>
      </w:r>
      <w:proofErr w:type="spellStart"/>
      <w:r>
        <w:t>Brasche</w:t>
      </w:r>
      <w:proofErr w:type="spellEnd"/>
      <w:r>
        <w:t>, L., “Model-Based POD: Successes and Opportunities,” 1st Meeting of the MAPOD Working Group, (Albuquerque, New Mexico, September 23-24, 2004), web site:  http://www.cnde.iastate.edu/MAPOD/.</w:t>
      </w:r>
    </w:p>
    <w:p w14:paraId="75E241EF" w14:textId="77777777" w:rsidR="0023708E" w:rsidRDefault="0023708E" w:rsidP="0023708E">
      <w:pPr>
        <w:pStyle w:val="BODYTEXTPAPERSUMMARY"/>
        <w:numPr>
          <w:ilvl w:val="0"/>
          <w:numId w:val="5"/>
        </w:numPr>
      </w:pPr>
      <w:r>
        <w:rPr>
          <w:rFonts w:hint="eastAsia"/>
        </w:rPr>
        <w:t xml:space="preserve">Harding, C. A., Hugo, G. R., &amp; Bowles, S. J., </w:t>
      </w:r>
      <w:r>
        <w:rPr>
          <w:rFonts w:hint="eastAsia"/>
        </w:rPr>
        <w:t>“</w:t>
      </w:r>
      <w:r>
        <w:rPr>
          <w:rFonts w:hint="eastAsia"/>
        </w:rPr>
        <w:t>Application of Model</w:t>
      </w:r>
      <w:r>
        <w:rPr>
          <w:rFonts w:hint="eastAsia"/>
        </w:rPr>
        <w:t>‐</w:t>
      </w:r>
      <w:r>
        <w:rPr>
          <w:rFonts w:hint="eastAsia"/>
        </w:rPr>
        <w:t>assisted POD Using a Transfer Function Approach,</w:t>
      </w:r>
      <w:r>
        <w:rPr>
          <w:rFonts w:hint="eastAsia"/>
        </w:rPr>
        <w:t>”</w:t>
      </w:r>
      <w:r>
        <w:rPr>
          <w:rFonts w:hint="eastAsia"/>
        </w:rPr>
        <w:t xml:space="preserve"> Proceedings of the 35th Annual Review of Progress in Quantitative Nondestructive </w:t>
      </w:r>
      <w:r>
        <w:rPr>
          <w:rFonts w:hint="eastAsia"/>
        </w:rPr>
        <w:t>Evaluation, AIP, Vol. 1096, No. 1, (2009), pp. 1792-1799.</w:t>
      </w:r>
    </w:p>
    <w:p w14:paraId="7D1D05E5" w14:textId="560CF6ED" w:rsidR="00251E37" w:rsidRDefault="00B14461" w:rsidP="0054729C">
      <w:pPr>
        <w:pStyle w:val="BODYTEXTPAPERSUMMARY"/>
        <w:numPr>
          <w:ilvl w:val="0"/>
          <w:numId w:val="5"/>
        </w:numPr>
      </w:pPr>
      <w:r>
        <w:t xml:space="preserve">Syed Akbar Ali, M.S., </w:t>
      </w:r>
      <w:r w:rsidR="008C00B7">
        <w:t>Kumar, A.</w:t>
      </w:r>
      <w:r w:rsidR="00425364">
        <w:t xml:space="preserve"> and Rajagopal, P, “</w:t>
      </w:r>
      <w:r w:rsidR="002A6C4F" w:rsidRPr="002A6C4F">
        <w:t>Signal noise based transfer function approach for reliability estimation of ultrasonic inspection</w:t>
      </w:r>
      <w:r w:rsidR="002A6C4F">
        <w:t xml:space="preserve">”, </w:t>
      </w:r>
      <w:r w:rsidR="004A77D8">
        <w:t xml:space="preserve">Ultrasonics, </w:t>
      </w:r>
      <w:r w:rsidR="00B40D39">
        <w:t>Vol. 96, (2019), pp. 276-283.</w:t>
      </w:r>
    </w:p>
    <w:p w14:paraId="5F80F694" w14:textId="7BD90E73" w:rsidR="00A91E94" w:rsidRDefault="00A91E94" w:rsidP="00A91E94">
      <w:pPr>
        <w:pStyle w:val="BODYTEXTPAPERSUMMARY"/>
        <w:numPr>
          <w:ilvl w:val="0"/>
          <w:numId w:val="5"/>
        </w:numPr>
      </w:pPr>
      <w:r>
        <w:t>Syed Akbar Ali, M.S., Kumar, A.</w:t>
      </w:r>
      <w:r w:rsidR="00994347">
        <w:t xml:space="preserve">, </w:t>
      </w:r>
      <w:r w:rsidR="000D6E10">
        <w:t>Rao, P.B., Tammana, J., Bal</w:t>
      </w:r>
      <w:r w:rsidR="00185AF6">
        <w:t>a</w:t>
      </w:r>
      <w:r w:rsidR="000D6E10">
        <w:t>subramaniam</w:t>
      </w:r>
      <w:r w:rsidR="00185AF6">
        <w:t>, K.</w:t>
      </w:r>
      <w:r>
        <w:t xml:space="preserve"> and Rajagopal, P, “</w:t>
      </w:r>
      <w:r w:rsidR="00586DA6" w:rsidRPr="00586DA6">
        <w:t>Bayesian synthesis for simulation-based generation of probability of detection (</w:t>
      </w:r>
      <w:proofErr w:type="spellStart"/>
      <w:r w:rsidR="00586DA6" w:rsidRPr="00586DA6">
        <w:t>PoD</w:t>
      </w:r>
      <w:proofErr w:type="spellEnd"/>
      <w:r w:rsidR="00586DA6" w:rsidRPr="00586DA6">
        <w:t>) curves</w:t>
      </w:r>
      <w:r>
        <w:t xml:space="preserve">”, Ultrasonics, Vol. </w:t>
      </w:r>
      <w:r w:rsidR="00586DA6">
        <w:t>84</w:t>
      </w:r>
      <w:r>
        <w:t>, (201</w:t>
      </w:r>
      <w:r w:rsidR="009C658C">
        <w:t>8</w:t>
      </w:r>
      <w:r>
        <w:t>), pp. 2</w:t>
      </w:r>
      <w:r w:rsidR="009C658C">
        <w:t>10</w:t>
      </w:r>
      <w:r>
        <w:t>-2</w:t>
      </w:r>
      <w:r w:rsidR="009C658C">
        <w:t>22</w:t>
      </w:r>
      <w:r>
        <w:t>.</w:t>
      </w:r>
    </w:p>
    <w:p w14:paraId="5CF1D01E" w14:textId="1F2F8564" w:rsidR="0054729C" w:rsidRDefault="0054729C" w:rsidP="0054729C">
      <w:pPr>
        <w:pStyle w:val="BODYTEXTPAPERSUMMARY"/>
        <w:numPr>
          <w:ilvl w:val="0"/>
          <w:numId w:val="5"/>
        </w:numPr>
      </w:pPr>
      <w:r>
        <w:t xml:space="preserve">Aldrin, J.C., Knopp, J. S., Lindgren E. A., and </w:t>
      </w:r>
      <w:proofErr w:type="spellStart"/>
      <w:r>
        <w:t>Jata</w:t>
      </w:r>
      <w:proofErr w:type="spellEnd"/>
      <w:r>
        <w:t>, K. V., “Model-assisted Probability of Detection (MAPOD) Evaluation for Eddy Current Inspection of Fastener Sites”, Review of Progress in QNDE, Vol. 28, AIP, (2009), pp 1784-1791.</w:t>
      </w:r>
    </w:p>
    <w:p w14:paraId="5EBC2EC9" w14:textId="77777777" w:rsidR="0023708E" w:rsidRDefault="0054729C" w:rsidP="000D32D9">
      <w:pPr>
        <w:pStyle w:val="BODYTEXTPAPERSUMMARY"/>
        <w:numPr>
          <w:ilvl w:val="0"/>
          <w:numId w:val="5"/>
        </w:numPr>
      </w:pPr>
      <w:r w:rsidRPr="0023708E">
        <w:t>Koshti, A., Parker, P.A., Forsyth, D.S., Suits, M.W., Walker, J.L. and Prosser, W.H., 2021. Guidebook for Limited Sample Probability of Detection (LS-POD) Demonstration for Signal-Response Nondestructive Evaluation (NDE) Methods (No. NESC-TI-20-01545)</w:t>
      </w:r>
      <w:r w:rsidR="0023708E">
        <w:t>.</w:t>
      </w:r>
    </w:p>
    <w:p w14:paraId="6A498B6B" w14:textId="34E560B7" w:rsidR="009739DC" w:rsidRDefault="0054729C" w:rsidP="000D32D9">
      <w:pPr>
        <w:pStyle w:val="BODYTEXTPAPERSUMMARY"/>
        <w:numPr>
          <w:ilvl w:val="0"/>
          <w:numId w:val="5"/>
        </w:numPr>
      </w:pPr>
      <w:r w:rsidRPr="0023708E">
        <w:t>Koshti, A., Parker, P.A., Forsyth, D.S., Suits, M.W., Walker, J.L. and Prosser, W.H., 2022. Guidebook for Assessing Similarity and Implementing Empirical Transfer Functions for Probability of Detection (POD) Demonstrations for Signal Based Nondestructive Evaluation (NDE) Methods (No. NESC-TI-21-01657).</w:t>
      </w:r>
    </w:p>
    <w:p w14:paraId="42E0BA7F" w14:textId="1580E475" w:rsidR="0023708E" w:rsidRDefault="0023708E" w:rsidP="000D32D9">
      <w:pPr>
        <w:pStyle w:val="BODYTEXTPAPERSUMMARY"/>
        <w:numPr>
          <w:ilvl w:val="0"/>
          <w:numId w:val="5"/>
        </w:numPr>
      </w:pPr>
      <w:r w:rsidRPr="0023708E">
        <w:t>Koshti A</w:t>
      </w:r>
      <w:r>
        <w:t>.</w:t>
      </w:r>
      <w:r w:rsidRPr="0023708E">
        <w:t>M.</w:t>
      </w:r>
      <w:r>
        <w:t>,</w:t>
      </w:r>
      <w:r w:rsidRPr="0023708E">
        <w:t xml:space="preserve"> </w:t>
      </w:r>
      <w:r>
        <w:t>“</w:t>
      </w:r>
      <w:r w:rsidRPr="0023708E">
        <w:t>Transfer function models for using empirical and physics-based simulation signal response data</w:t>
      </w:r>
      <w:r>
        <w:t>,”</w:t>
      </w:r>
      <w:r w:rsidRPr="0023708E">
        <w:t xml:space="preserve"> In</w:t>
      </w:r>
      <w:r>
        <w:t xml:space="preserve"> </w:t>
      </w:r>
      <w:r w:rsidRPr="000D32D9">
        <w:t>SPIE Smart Structures + Nondestructive Evaluation</w:t>
      </w:r>
      <w:r>
        <w:t>,</w:t>
      </w:r>
      <w:r w:rsidRPr="0023708E">
        <w:t xml:space="preserve"> </w:t>
      </w:r>
      <w:r>
        <w:t>(</w:t>
      </w:r>
      <w:r w:rsidRPr="0023708E">
        <w:t>Mar 25</w:t>
      </w:r>
      <w:r>
        <w:t xml:space="preserve">, </w:t>
      </w:r>
      <w:r w:rsidRPr="0023708E">
        <w:t>2024</w:t>
      </w:r>
      <w:r>
        <w:t>)</w:t>
      </w:r>
      <w:r w:rsidRPr="0023708E">
        <w:t>.</w:t>
      </w:r>
    </w:p>
    <w:p w14:paraId="3FE95810" w14:textId="29B3F366" w:rsidR="0023708E" w:rsidRDefault="0023708E" w:rsidP="000D32D9">
      <w:pPr>
        <w:pStyle w:val="BODYTEXTPAPERSUMMARY"/>
        <w:numPr>
          <w:ilvl w:val="0"/>
          <w:numId w:val="5"/>
        </w:numPr>
      </w:pPr>
      <w:r w:rsidRPr="0023708E">
        <w:t xml:space="preserve">Aldrin, J. C., Knopp, J., Sabbagh, H. A., “Bayesian Methods in Probability of Detection Estimation and Model-assisted Probability of Detection (MAPOD) Evaluation,” </w:t>
      </w:r>
      <w:r w:rsidRPr="000D32D9">
        <w:t>Review of Progress in QNDE</w:t>
      </w:r>
      <w:r w:rsidRPr="0023708E">
        <w:t>, Vol. 32, AIP Publishing, (2013), pp. 1733-1740.</w:t>
      </w:r>
    </w:p>
    <w:p w14:paraId="56DB2935" w14:textId="77777777" w:rsidR="000D32D9" w:rsidRPr="0023708E" w:rsidRDefault="000D32D9" w:rsidP="000D32D9">
      <w:pPr>
        <w:pStyle w:val="BODYTEXTPAPERSUMMARY"/>
      </w:pPr>
    </w:p>
    <w:p w14:paraId="21046BFD" w14:textId="6EB6E06B" w:rsidR="004F5426" w:rsidRDefault="004F5426" w:rsidP="009739DC">
      <w:pPr>
        <w:pStyle w:val="BODYTEXTPAPERSUMMARY"/>
        <w:ind w:left="360" w:hanging="360"/>
      </w:pPr>
      <w:r w:rsidRPr="004F5426">
        <w:rPr>
          <w:b/>
          <w:sz w:val="24"/>
          <w:szCs w:val="24"/>
        </w:rPr>
        <w:t>ACKNOWLEDGEMENTS</w:t>
      </w:r>
    </w:p>
    <w:p w14:paraId="5F156E0E" w14:textId="77777777" w:rsidR="00F11493" w:rsidRDefault="004F5426" w:rsidP="0023708E">
      <w:pPr>
        <w:pStyle w:val="BODYTEXTPAPERSUMMARY"/>
      </w:pPr>
      <w:r w:rsidRPr="00356A35">
        <w:t xml:space="preserve">The authors would like to acknowledge support for this work </w:t>
      </w:r>
      <w:r w:rsidR="0054729C">
        <w:t xml:space="preserve">at </w:t>
      </w:r>
      <w:r w:rsidR="0023708E">
        <w:t>the Center</w:t>
      </w:r>
      <w:r w:rsidR="006F2D22">
        <w:t xml:space="preserve"> for Nondestructive Evaluation (</w:t>
      </w:r>
      <w:r w:rsidR="000B321E" w:rsidRPr="00EA2786">
        <w:t>CNDE</w:t>
      </w:r>
      <w:r w:rsidR="006F2D22">
        <w:t>)</w:t>
      </w:r>
      <w:r w:rsidR="000B321E" w:rsidRPr="00EA2786">
        <w:t xml:space="preserve"> </w:t>
      </w:r>
      <w:r w:rsidR="006F2D22">
        <w:t>by</w:t>
      </w:r>
      <w:r w:rsidR="0054729C">
        <w:t xml:space="preserve"> the</w:t>
      </w:r>
      <w:r w:rsidR="000B321E">
        <w:t xml:space="preserve"> Industrial Advisory Board (IAB)</w:t>
      </w:r>
      <w:r w:rsidRPr="00356A35">
        <w:t>.</w:t>
      </w:r>
    </w:p>
    <w:sectPr w:rsidR="00F11493" w:rsidSect="008F4F7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6E87" w14:textId="77777777" w:rsidR="008F4F7D" w:rsidRDefault="008F4F7D" w:rsidP="000947CE">
      <w:r>
        <w:separator/>
      </w:r>
    </w:p>
  </w:endnote>
  <w:endnote w:type="continuationSeparator" w:id="0">
    <w:p w14:paraId="5F566FC7" w14:textId="77777777" w:rsidR="008F4F7D" w:rsidRDefault="008F4F7D"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5DA0" w14:textId="77777777" w:rsidR="008F4F7D" w:rsidRDefault="008F4F7D" w:rsidP="000947CE">
      <w:r>
        <w:separator/>
      </w:r>
    </w:p>
  </w:footnote>
  <w:footnote w:type="continuationSeparator" w:id="0">
    <w:p w14:paraId="1CE20F5F" w14:textId="77777777" w:rsidR="008F4F7D" w:rsidRDefault="008F4F7D"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lang w:eastAsia="zh-CN"/>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250F4"/>
    <w:multiLevelType w:val="hybridMultilevel"/>
    <w:tmpl w:val="B2D4F9CE"/>
    <w:lvl w:ilvl="0" w:tplc="FBCEA4C2">
      <w:start w:val="1"/>
      <w:numFmt w:val="decimal"/>
      <w:lvlText w:val="%1."/>
      <w:lvlJc w:val="left"/>
      <w:pPr>
        <w:tabs>
          <w:tab w:val="num" w:pos="720"/>
        </w:tabs>
        <w:ind w:left="720" w:hanging="360"/>
      </w:pPr>
    </w:lvl>
    <w:lvl w:ilvl="1" w:tplc="10A4CDFE">
      <w:start w:val="1"/>
      <w:numFmt w:val="decimal"/>
      <w:lvlText w:val="%2."/>
      <w:lvlJc w:val="left"/>
      <w:pPr>
        <w:tabs>
          <w:tab w:val="num" w:pos="1440"/>
        </w:tabs>
        <w:ind w:left="1440" w:hanging="360"/>
      </w:pPr>
    </w:lvl>
    <w:lvl w:ilvl="2" w:tplc="2B06E598" w:tentative="1">
      <w:start w:val="1"/>
      <w:numFmt w:val="decimal"/>
      <w:lvlText w:val="%3."/>
      <w:lvlJc w:val="left"/>
      <w:pPr>
        <w:tabs>
          <w:tab w:val="num" w:pos="2160"/>
        </w:tabs>
        <w:ind w:left="2160" w:hanging="360"/>
      </w:pPr>
    </w:lvl>
    <w:lvl w:ilvl="3" w:tplc="75026FC4" w:tentative="1">
      <w:start w:val="1"/>
      <w:numFmt w:val="decimal"/>
      <w:lvlText w:val="%4."/>
      <w:lvlJc w:val="left"/>
      <w:pPr>
        <w:tabs>
          <w:tab w:val="num" w:pos="2880"/>
        </w:tabs>
        <w:ind w:left="2880" w:hanging="360"/>
      </w:pPr>
    </w:lvl>
    <w:lvl w:ilvl="4" w:tplc="2BC46D60" w:tentative="1">
      <w:start w:val="1"/>
      <w:numFmt w:val="decimal"/>
      <w:lvlText w:val="%5."/>
      <w:lvlJc w:val="left"/>
      <w:pPr>
        <w:tabs>
          <w:tab w:val="num" w:pos="3600"/>
        </w:tabs>
        <w:ind w:left="3600" w:hanging="360"/>
      </w:pPr>
    </w:lvl>
    <w:lvl w:ilvl="5" w:tplc="7D7EE22A" w:tentative="1">
      <w:start w:val="1"/>
      <w:numFmt w:val="decimal"/>
      <w:lvlText w:val="%6."/>
      <w:lvlJc w:val="left"/>
      <w:pPr>
        <w:tabs>
          <w:tab w:val="num" w:pos="4320"/>
        </w:tabs>
        <w:ind w:left="4320" w:hanging="360"/>
      </w:pPr>
    </w:lvl>
    <w:lvl w:ilvl="6" w:tplc="01465D4A" w:tentative="1">
      <w:start w:val="1"/>
      <w:numFmt w:val="decimal"/>
      <w:lvlText w:val="%7."/>
      <w:lvlJc w:val="left"/>
      <w:pPr>
        <w:tabs>
          <w:tab w:val="num" w:pos="5040"/>
        </w:tabs>
        <w:ind w:left="5040" w:hanging="360"/>
      </w:pPr>
    </w:lvl>
    <w:lvl w:ilvl="7" w:tplc="34E245F8" w:tentative="1">
      <w:start w:val="1"/>
      <w:numFmt w:val="decimal"/>
      <w:lvlText w:val="%8."/>
      <w:lvlJc w:val="left"/>
      <w:pPr>
        <w:tabs>
          <w:tab w:val="num" w:pos="5760"/>
        </w:tabs>
        <w:ind w:left="5760" w:hanging="360"/>
      </w:pPr>
    </w:lvl>
    <w:lvl w:ilvl="8" w:tplc="CEEE03FE" w:tentative="1">
      <w:start w:val="1"/>
      <w:numFmt w:val="decimal"/>
      <w:lvlText w:val="%9."/>
      <w:lvlJc w:val="left"/>
      <w:pPr>
        <w:tabs>
          <w:tab w:val="num" w:pos="6480"/>
        </w:tabs>
        <w:ind w:left="6480" w:hanging="360"/>
      </w:pPr>
    </w:lvl>
  </w:abstractNum>
  <w:abstractNum w:abstractNumId="2"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27EC"/>
    <w:multiLevelType w:val="hybridMultilevel"/>
    <w:tmpl w:val="7EA64CB6"/>
    <w:lvl w:ilvl="0" w:tplc="69882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F71B6E"/>
    <w:multiLevelType w:val="hybridMultilevel"/>
    <w:tmpl w:val="0FEE69C6"/>
    <w:lvl w:ilvl="0" w:tplc="5E3EFE8E">
      <w:start w:val="1"/>
      <w:numFmt w:val="decimal"/>
      <w:lvlText w:val="%1."/>
      <w:lvlJc w:val="left"/>
      <w:pPr>
        <w:tabs>
          <w:tab w:val="num" w:pos="720"/>
        </w:tabs>
        <w:ind w:left="720" w:hanging="360"/>
      </w:pPr>
    </w:lvl>
    <w:lvl w:ilvl="1" w:tplc="34C6D890">
      <w:start w:val="1"/>
      <w:numFmt w:val="decimal"/>
      <w:lvlText w:val="%2."/>
      <w:lvlJc w:val="left"/>
      <w:pPr>
        <w:tabs>
          <w:tab w:val="num" w:pos="1440"/>
        </w:tabs>
        <w:ind w:left="1440" w:hanging="360"/>
      </w:pPr>
    </w:lvl>
    <w:lvl w:ilvl="2" w:tplc="A5460A6A" w:tentative="1">
      <w:start w:val="1"/>
      <w:numFmt w:val="decimal"/>
      <w:lvlText w:val="%3."/>
      <w:lvlJc w:val="left"/>
      <w:pPr>
        <w:tabs>
          <w:tab w:val="num" w:pos="2160"/>
        </w:tabs>
        <w:ind w:left="2160" w:hanging="360"/>
      </w:pPr>
    </w:lvl>
    <w:lvl w:ilvl="3" w:tplc="CA163564" w:tentative="1">
      <w:start w:val="1"/>
      <w:numFmt w:val="decimal"/>
      <w:lvlText w:val="%4."/>
      <w:lvlJc w:val="left"/>
      <w:pPr>
        <w:tabs>
          <w:tab w:val="num" w:pos="2880"/>
        </w:tabs>
        <w:ind w:left="2880" w:hanging="360"/>
      </w:pPr>
    </w:lvl>
    <w:lvl w:ilvl="4" w:tplc="AA12F1B4" w:tentative="1">
      <w:start w:val="1"/>
      <w:numFmt w:val="decimal"/>
      <w:lvlText w:val="%5."/>
      <w:lvlJc w:val="left"/>
      <w:pPr>
        <w:tabs>
          <w:tab w:val="num" w:pos="3600"/>
        </w:tabs>
        <w:ind w:left="3600" w:hanging="360"/>
      </w:pPr>
    </w:lvl>
    <w:lvl w:ilvl="5" w:tplc="1E88B758" w:tentative="1">
      <w:start w:val="1"/>
      <w:numFmt w:val="decimal"/>
      <w:lvlText w:val="%6."/>
      <w:lvlJc w:val="left"/>
      <w:pPr>
        <w:tabs>
          <w:tab w:val="num" w:pos="4320"/>
        </w:tabs>
        <w:ind w:left="4320" w:hanging="360"/>
      </w:pPr>
    </w:lvl>
    <w:lvl w:ilvl="6" w:tplc="4E2A2CEC" w:tentative="1">
      <w:start w:val="1"/>
      <w:numFmt w:val="decimal"/>
      <w:lvlText w:val="%7."/>
      <w:lvlJc w:val="left"/>
      <w:pPr>
        <w:tabs>
          <w:tab w:val="num" w:pos="5040"/>
        </w:tabs>
        <w:ind w:left="5040" w:hanging="360"/>
      </w:pPr>
    </w:lvl>
    <w:lvl w:ilvl="7" w:tplc="DDA8F9BA" w:tentative="1">
      <w:start w:val="1"/>
      <w:numFmt w:val="decimal"/>
      <w:lvlText w:val="%8."/>
      <w:lvlJc w:val="left"/>
      <w:pPr>
        <w:tabs>
          <w:tab w:val="num" w:pos="5760"/>
        </w:tabs>
        <w:ind w:left="5760" w:hanging="360"/>
      </w:pPr>
    </w:lvl>
    <w:lvl w:ilvl="8" w:tplc="DF485982" w:tentative="1">
      <w:start w:val="1"/>
      <w:numFmt w:val="decimal"/>
      <w:lvlText w:val="%9."/>
      <w:lvlJc w:val="left"/>
      <w:pPr>
        <w:tabs>
          <w:tab w:val="num" w:pos="6480"/>
        </w:tabs>
        <w:ind w:left="6480" w:hanging="360"/>
      </w:pPr>
    </w:lvl>
  </w:abstractNum>
  <w:abstractNum w:abstractNumId="5"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33EE9"/>
    <w:multiLevelType w:val="hybridMultilevel"/>
    <w:tmpl w:val="5FCA4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D97700"/>
    <w:multiLevelType w:val="hybridMultilevel"/>
    <w:tmpl w:val="09F413EE"/>
    <w:lvl w:ilvl="0" w:tplc="DE5CF2C2">
      <w:start w:val="1"/>
      <w:numFmt w:val="decimal"/>
      <w:lvlText w:val="%1."/>
      <w:lvlJc w:val="left"/>
      <w:pPr>
        <w:tabs>
          <w:tab w:val="num" w:pos="720"/>
        </w:tabs>
        <w:ind w:left="720" w:hanging="360"/>
      </w:pPr>
    </w:lvl>
    <w:lvl w:ilvl="1" w:tplc="BC5C8ABA">
      <w:start w:val="1"/>
      <w:numFmt w:val="decimal"/>
      <w:lvlText w:val="%2."/>
      <w:lvlJc w:val="left"/>
      <w:pPr>
        <w:tabs>
          <w:tab w:val="num" w:pos="1440"/>
        </w:tabs>
        <w:ind w:left="1440" w:hanging="360"/>
      </w:pPr>
    </w:lvl>
    <w:lvl w:ilvl="2" w:tplc="ADA64826" w:tentative="1">
      <w:start w:val="1"/>
      <w:numFmt w:val="decimal"/>
      <w:lvlText w:val="%3."/>
      <w:lvlJc w:val="left"/>
      <w:pPr>
        <w:tabs>
          <w:tab w:val="num" w:pos="2160"/>
        </w:tabs>
        <w:ind w:left="2160" w:hanging="360"/>
      </w:pPr>
    </w:lvl>
    <w:lvl w:ilvl="3" w:tplc="3536B0B0" w:tentative="1">
      <w:start w:val="1"/>
      <w:numFmt w:val="decimal"/>
      <w:lvlText w:val="%4."/>
      <w:lvlJc w:val="left"/>
      <w:pPr>
        <w:tabs>
          <w:tab w:val="num" w:pos="2880"/>
        </w:tabs>
        <w:ind w:left="2880" w:hanging="360"/>
      </w:pPr>
    </w:lvl>
    <w:lvl w:ilvl="4" w:tplc="DA1E3AE8" w:tentative="1">
      <w:start w:val="1"/>
      <w:numFmt w:val="decimal"/>
      <w:lvlText w:val="%5."/>
      <w:lvlJc w:val="left"/>
      <w:pPr>
        <w:tabs>
          <w:tab w:val="num" w:pos="3600"/>
        </w:tabs>
        <w:ind w:left="3600" w:hanging="360"/>
      </w:pPr>
    </w:lvl>
    <w:lvl w:ilvl="5" w:tplc="6792D838" w:tentative="1">
      <w:start w:val="1"/>
      <w:numFmt w:val="decimal"/>
      <w:lvlText w:val="%6."/>
      <w:lvlJc w:val="left"/>
      <w:pPr>
        <w:tabs>
          <w:tab w:val="num" w:pos="4320"/>
        </w:tabs>
        <w:ind w:left="4320" w:hanging="360"/>
      </w:pPr>
    </w:lvl>
    <w:lvl w:ilvl="6" w:tplc="67882D44" w:tentative="1">
      <w:start w:val="1"/>
      <w:numFmt w:val="decimal"/>
      <w:lvlText w:val="%7."/>
      <w:lvlJc w:val="left"/>
      <w:pPr>
        <w:tabs>
          <w:tab w:val="num" w:pos="5040"/>
        </w:tabs>
        <w:ind w:left="5040" w:hanging="360"/>
      </w:pPr>
    </w:lvl>
    <w:lvl w:ilvl="7" w:tplc="FFF4CD44" w:tentative="1">
      <w:start w:val="1"/>
      <w:numFmt w:val="decimal"/>
      <w:lvlText w:val="%8."/>
      <w:lvlJc w:val="left"/>
      <w:pPr>
        <w:tabs>
          <w:tab w:val="num" w:pos="5760"/>
        </w:tabs>
        <w:ind w:left="5760" w:hanging="360"/>
      </w:pPr>
    </w:lvl>
    <w:lvl w:ilvl="8" w:tplc="477A9C02" w:tentative="1">
      <w:start w:val="1"/>
      <w:numFmt w:val="decimal"/>
      <w:lvlText w:val="%9."/>
      <w:lvlJc w:val="left"/>
      <w:pPr>
        <w:tabs>
          <w:tab w:val="num" w:pos="6480"/>
        </w:tabs>
        <w:ind w:left="6480" w:hanging="360"/>
      </w:pPr>
    </w:lvl>
  </w:abstractNum>
  <w:abstractNum w:abstractNumId="9" w15:restartNumberingAfterBreak="0">
    <w:nsid w:val="6C6A6F67"/>
    <w:multiLevelType w:val="hybridMultilevel"/>
    <w:tmpl w:val="0EB0C7A0"/>
    <w:lvl w:ilvl="0" w:tplc="F3E0676A">
      <w:start w:val="1"/>
      <w:numFmt w:val="decimal"/>
      <w:lvlText w:val="%1."/>
      <w:lvlJc w:val="left"/>
      <w:pPr>
        <w:tabs>
          <w:tab w:val="num" w:pos="720"/>
        </w:tabs>
        <w:ind w:left="720" w:hanging="360"/>
      </w:pPr>
    </w:lvl>
    <w:lvl w:ilvl="1" w:tplc="A5789F06">
      <w:start w:val="1"/>
      <w:numFmt w:val="decimal"/>
      <w:lvlText w:val="%2."/>
      <w:lvlJc w:val="left"/>
      <w:pPr>
        <w:tabs>
          <w:tab w:val="num" w:pos="1440"/>
        </w:tabs>
        <w:ind w:left="1440" w:hanging="360"/>
      </w:pPr>
    </w:lvl>
    <w:lvl w:ilvl="2" w:tplc="47060718" w:tentative="1">
      <w:start w:val="1"/>
      <w:numFmt w:val="decimal"/>
      <w:lvlText w:val="%3."/>
      <w:lvlJc w:val="left"/>
      <w:pPr>
        <w:tabs>
          <w:tab w:val="num" w:pos="2160"/>
        </w:tabs>
        <w:ind w:left="2160" w:hanging="360"/>
      </w:pPr>
    </w:lvl>
    <w:lvl w:ilvl="3" w:tplc="65BE83EC" w:tentative="1">
      <w:start w:val="1"/>
      <w:numFmt w:val="decimal"/>
      <w:lvlText w:val="%4."/>
      <w:lvlJc w:val="left"/>
      <w:pPr>
        <w:tabs>
          <w:tab w:val="num" w:pos="2880"/>
        </w:tabs>
        <w:ind w:left="2880" w:hanging="360"/>
      </w:pPr>
    </w:lvl>
    <w:lvl w:ilvl="4" w:tplc="9934CF1A" w:tentative="1">
      <w:start w:val="1"/>
      <w:numFmt w:val="decimal"/>
      <w:lvlText w:val="%5."/>
      <w:lvlJc w:val="left"/>
      <w:pPr>
        <w:tabs>
          <w:tab w:val="num" w:pos="3600"/>
        </w:tabs>
        <w:ind w:left="3600" w:hanging="360"/>
      </w:pPr>
    </w:lvl>
    <w:lvl w:ilvl="5" w:tplc="BD305B32" w:tentative="1">
      <w:start w:val="1"/>
      <w:numFmt w:val="decimal"/>
      <w:lvlText w:val="%6."/>
      <w:lvlJc w:val="left"/>
      <w:pPr>
        <w:tabs>
          <w:tab w:val="num" w:pos="4320"/>
        </w:tabs>
        <w:ind w:left="4320" w:hanging="360"/>
      </w:pPr>
    </w:lvl>
    <w:lvl w:ilvl="6" w:tplc="E1028948" w:tentative="1">
      <w:start w:val="1"/>
      <w:numFmt w:val="decimal"/>
      <w:lvlText w:val="%7."/>
      <w:lvlJc w:val="left"/>
      <w:pPr>
        <w:tabs>
          <w:tab w:val="num" w:pos="5040"/>
        </w:tabs>
        <w:ind w:left="5040" w:hanging="360"/>
      </w:pPr>
    </w:lvl>
    <w:lvl w:ilvl="7" w:tplc="062E8000" w:tentative="1">
      <w:start w:val="1"/>
      <w:numFmt w:val="decimal"/>
      <w:lvlText w:val="%8."/>
      <w:lvlJc w:val="left"/>
      <w:pPr>
        <w:tabs>
          <w:tab w:val="num" w:pos="5760"/>
        </w:tabs>
        <w:ind w:left="5760" w:hanging="360"/>
      </w:pPr>
    </w:lvl>
    <w:lvl w:ilvl="8" w:tplc="F752C806" w:tentative="1">
      <w:start w:val="1"/>
      <w:numFmt w:val="decimal"/>
      <w:lvlText w:val="%9."/>
      <w:lvlJc w:val="left"/>
      <w:pPr>
        <w:tabs>
          <w:tab w:val="num" w:pos="6480"/>
        </w:tabs>
        <w:ind w:left="6480" w:hanging="360"/>
      </w:pPr>
    </w:lvl>
  </w:abstractNum>
  <w:abstractNum w:abstractNumId="10" w15:restartNumberingAfterBreak="0">
    <w:nsid w:val="6D8C50A2"/>
    <w:multiLevelType w:val="hybridMultilevel"/>
    <w:tmpl w:val="4182907A"/>
    <w:lvl w:ilvl="0" w:tplc="4454AD58">
      <w:start w:val="1"/>
      <w:numFmt w:val="decimal"/>
      <w:lvlText w:val="%1."/>
      <w:lvlJc w:val="left"/>
      <w:pPr>
        <w:tabs>
          <w:tab w:val="num" w:pos="720"/>
        </w:tabs>
        <w:ind w:left="720" w:hanging="360"/>
      </w:pPr>
    </w:lvl>
    <w:lvl w:ilvl="1" w:tplc="BC86D768">
      <w:start w:val="1"/>
      <w:numFmt w:val="decimal"/>
      <w:lvlText w:val="%2."/>
      <w:lvlJc w:val="left"/>
      <w:pPr>
        <w:tabs>
          <w:tab w:val="num" w:pos="1440"/>
        </w:tabs>
        <w:ind w:left="1440" w:hanging="360"/>
      </w:pPr>
    </w:lvl>
    <w:lvl w:ilvl="2" w:tplc="63A4E6E2" w:tentative="1">
      <w:start w:val="1"/>
      <w:numFmt w:val="decimal"/>
      <w:lvlText w:val="%3."/>
      <w:lvlJc w:val="left"/>
      <w:pPr>
        <w:tabs>
          <w:tab w:val="num" w:pos="2160"/>
        </w:tabs>
        <w:ind w:left="2160" w:hanging="360"/>
      </w:pPr>
    </w:lvl>
    <w:lvl w:ilvl="3" w:tplc="1BC23ECE" w:tentative="1">
      <w:start w:val="1"/>
      <w:numFmt w:val="decimal"/>
      <w:lvlText w:val="%4."/>
      <w:lvlJc w:val="left"/>
      <w:pPr>
        <w:tabs>
          <w:tab w:val="num" w:pos="2880"/>
        </w:tabs>
        <w:ind w:left="2880" w:hanging="360"/>
      </w:pPr>
    </w:lvl>
    <w:lvl w:ilvl="4" w:tplc="B5588A84" w:tentative="1">
      <w:start w:val="1"/>
      <w:numFmt w:val="decimal"/>
      <w:lvlText w:val="%5."/>
      <w:lvlJc w:val="left"/>
      <w:pPr>
        <w:tabs>
          <w:tab w:val="num" w:pos="3600"/>
        </w:tabs>
        <w:ind w:left="3600" w:hanging="360"/>
      </w:pPr>
    </w:lvl>
    <w:lvl w:ilvl="5" w:tplc="50E49CA4" w:tentative="1">
      <w:start w:val="1"/>
      <w:numFmt w:val="decimal"/>
      <w:lvlText w:val="%6."/>
      <w:lvlJc w:val="left"/>
      <w:pPr>
        <w:tabs>
          <w:tab w:val="num" w:pos="4320"/>
        </w:tabs>
        <w:ind w:left="4320" w:hanging="360"/>
      </w:pPr>
    </w:lvl>
    <w:lvl w:ilvl="6" w:tplc="DA00D470" w:tentative="1">
      <w:start w:val="1"/>
      <w:numFmt w:val="decimal"/>
      <w:lvlText w:val="%7."/>
      <w:lvlJc w:val="left"/>
      <w:pPr>
        <w:tabs>
          <w:tab w:val="num" w:pos="5040"/>
        </w:tabs>
        <w:ind w:left="5040" w:hanging="360"/>
      </w:pPr>
    </w:lvl>
    <w:lvl w:ilvl="7" w:tplc="66204960" w:tentative="1">
      <w:start w:val="1"/>
      <w:numFmt w:val="decimal"/>
      <w:lvlText w:val="%8."/>
      <w:lvlJc w:val="left"/>
      <w:pPr>
        <w:tabs>
          <w:tab w:val="num" w:pos="5760"/>
        </w:tabs>
        <w:ind w:left="5760" w:hanging="360"/>
      </w:pPr>
    </w:lvl>
    <w:lvl w:ilvl="8" w:tplc="471088FC" w:tentative="1">
      <w:start w:val="1"/>
      <w:numFmt w:val="decimal"/>
      <w:lvlText w:val="%9."/>
      <w:lvlJc w:val="left"/>
      <w:pPr>
        <w:tabs>
          <w:tab w:val="num" w:pos="6480"/>
        </w:tabs>
        <w:ind w:left="6480" w:hanging="360"/>
      </w:pPr>
    </w:lvl>
  </w:abstractNum>
  <w:num w:numId="1" w16cid:durableId="1553886454">
    <w:abstractNumId w:val="0"/>
  </w:num>
  <w:num w:numId="2" w16cid:durableId="998580597">
    <w:abstractNumId w:val="6"/>
  </w:num>
  <w:num w:numId="3" w16cid:durableId="29646286">
    <w:abstractNumId w:val="2"/>
  </w:num>
  <w:num w:numId="4" w16cid:durableId="966356659">
    <w:abstractNumId w:val="5"/>
  </w:num>
  <w:num w:numId="5" w16cid:durableId="1916041961">
    <w:abstractNumId w:val="3"/>
  </w:num>
  <w:num w:numId="6" w16cid:durableId="413553628">
    <w:abstractNumId w:val="7"/>
  </w:num>
  <w:num w:numId="7" w16cid:durableId="1550649487">
    <w:abstractNumId w:val="4"/>
  </w:num>
  <w:num w:numId="8" w16cid:durableId="607928881">
    <w:abstractNumId w:val="8"/>
  </w:num>
  <w:num w:numId="9" w16cid:durableId="358359980">
    <w:abstractNumId w:val="10"/>
  </w:num>
  <w:num w:numId="10" w16cid:durableId="1373727353">
    <w:abstractNumId w:val="1"/>
  </w:num>
  <w:num w:numId="11" w16cid:durableId="986324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85"/>
    <w:rsid w:val="00017F02"/>
    <w:rsid w:val="00027A68"/>
    <w:rsid w:val="00037E6E"/>
    <w:rsid w:val="000947CE"/>
    <w:rsid w:val="00096208"/>
    <w:rsid w:val="000A490E"/>
    <w:rsid w:val="000A55AD"/>
    <w:rsid w:val="000A65FF"/>
    <w:rsid w:val="000B321E"/>
    <w:rsid w:val="000D02DE"/>
    <w:rsid w:val="000D32D9"/>
    <w:rsid w:val="000D6E10"/>
    <w:rsid w:val="000E4B5F"/>
    <w:rsid w:val="000F4209"/>
    <w:rsid w:val="001142F2"/>
    <w:rsid w:val="001167BD"/>
    <w:rsid w:val="001236A9"/>
    <w:rsid w:val="00130452"/>
    <w:rsid w:val="00142834"/>
    <w:rsid w:val="00146C01"/>
    <w:rsid w:val="001504A7"/>
    <w:rsid w:val="00156AD3"/>
    <w:rsid w:val="0018404C"/>
    <w:rsid w:val="00185AF6"/>
    <w:rsid w:val="001C3A7A"/>
    <w:rsid w:val="001E0D83"/>
    <w:rsid w:val="001E2DC0"/>
    <w:rsid w:val="001F4D73"/>
    <w:rsid w:val="001F7A7B"/>
    <w:rsid w:val="0020722E"/>
    <w:rsid w:val="00227FE7"/>
    <w:rsid w:val="00235886"/>
    <w:rsid w:val="0023708E"/>
    <w:rsid w:val="00243589"/>
    <w:rsid w:val="00251E37"/>
    <w:rsid w:val="002669F8"/>
    <w:rsid w:val="002725A4"/>
    <w:rsid w:val="002811F0"/>
    <w:rsid w:val="002A6C4F"/>
    <w:rsid w:val="002B0042"/>
    <w:rsid w:val="002D5799"/>
    <w:rsid w:val="002F41A9"/>
    <w:rsid w:val="00330343"/>
    <w:rsid w:val="003545DC"/>
    <w:rsid w:val="00356A35"/>
    <w:rsid w:val="003628DA"/>
    <w:rsid w:val="0036434C"/>
    <w:rsid w:val="00375E8F"/>
    <w:rsid w:val="0038325E"/>
    <w:rsid w:val="003B48A2"/>
    <w:rsid w:val="003D4A76"/>
    <w:rsid w:val="00404575"/>
    <w:rsid w:val="00425364"/>
    <w:rsid w:val="00436659"/>
    <w:rsid w:val="00445A15"/>
    <w:rsid w:val="00451211"/>
    <w:rsid w:val="00455EE9"/>
    <w:rsid w:val="00456F7E"/>
    <w:rsid w:val="004575B2"/>
    <w:rsid w:val="00483570"/>
    <w:rsid w:val="004A12CA"/>
    <w:rsid w:val="004A77D8"/>
    <w:rsid w:val="004B1FD3"/>
    <w:rsid w:val="004D0233"/>
    <w:rsid w:val="004D282B"/>
    <w:rsid w:val="004D4154"/>
    <w:rsid w:val="004E47DF"/>
    <w:rsid w:val="004F5426"/>
    <w:rsid w:val="0054621D"/>
    <w:rsid w:val="00546959"/>
    <w:rsid w:val="0054729C"/>
    <w:rsid w:val="00567B04"/>
    <w:rsid w:val="005813A0"/>
    <w:rsid w:val="00586DA6"/>
    <w:rsid w:val="005B0798"/>
    <w:rsid w:val="005E41ED"/>
    <w:rsid w:val="0060189E"/>
    <w:rsid w:val="00603159"/>
    <w:rsid w:val="00607AA4"/>
    <w:rsid w:val="006169FB"/>
    <w:rsid w:val="00624F24"/>
    <w:rsid w:val="006416FF"/>
    <w:rsid w:val="00650C09"/>
    <w:rsid w:val="00656A31"/>
    <w:rsid w:val="006664B8"/>
    <w:rsid w:val="00696FE8"/>
    <w:rsid w:val="006A2A9B"/>
    <w:rsid w:val="006B7B98"/>
    <w:rsid w:val="006C550A"/>
    <w:rsid w:val="006F2D22"/>
    <w:rsid w:val="00703D0B"/>
    <w:rsid w:val="007148A5"/>
    <w:rsid w:val="00717BFC"/>
    <w:rsid w:val="00731B2F"/>
    <w:rsid w:val="007329D7"/>
    <w:rsid w:val="007511ED"/>
    <w:rsid w:val="00761520"/>
    <w:rsid w:val="00765CE5"/>
    <w:rsid w:val="00773D94"/>
    <w:rsid w:val="007A08C6"/>
    <w:rsid w:val="007C2693"/>
    <w:rsid w:val="00802E81"/>
    <w:rsid w:val="0084043F"/>
    <w:rsid w:val="00895B87"/>
    <w:rsid w:val="00896C7C"/>
    <w:rsid w:val="008A12FA"/>
    <w:rsid w:val="008B5FF8"/>
    <w:rsid w:val="008C00B7"/>
    <w:rsid w:val="008D63B3"/>
    <w:rsid w:val="008F4AC1"/>
    <w:rsid w:val="008F4F7D"/>
    <w:rsid w:val="00904F1D"/>
    <w:rsid w:val="00917510"/>
    <w:rsid w:val="009313CA"/>
    <w:rsid w:val="009415D2"/>
    <w:rsid w:val="00947D15"/>
    <w:rsid w:val="009739DC"/>
    <w:rsid w:val="009808D2"/>
    <w:rsid w:val="00992A64"/>
    <w:rsid w:val="00994347"/>
    <w:rsid w:val="0099541C"/>
    <w:rsid w:val="009A524B"/>
    <w:rsid w:val="009B670D"/>
    <w:rsid w:val="009C165E"/>
    <w:rsid w:val="009C658C"/>
    <w:rsid w:val="009D1C45"/>
    <w:rsid w:val="009D5C17"/>
    <w:rsid w:val="00A171AB"/>
    <w:rsid w:val="00A226BA"/>
    <w:rsid w:val="00A23F3B"/>
    <w:rsid w:val="00A727CC"/>
    <w:rsid w:val="00A77085"/>
    <w:rsid w:val="00A91D5C"/>
    <w:rsid w:val="00A91E94"/>
    <w:rsid w:val="00AA1605"/>
    <w:rsid w:val="00AA340D"/>
    <w:rsid w:val="00AA6170"/>
    <w:rsid w:val="00AB5E1A"/>
    <w:rsid w:val="00AC5C74"/>
    <w:rsid w:val="00AC7874"/>
    <w:rsid w:val="00AD64CD"/>
    <w:rsid w:val="00AF5725"/>
    <w:rsid w:val="00AF5D00"/>
    <w:rsid w:val="00AF6820"/>
    <w:rsid w:val="00B11985"/>
    <w:rsid w:val="00B14461"/>
    <w:rsid w:val="00B25046"/>
    <w:rsid w:val="00B250AD"/>
    <w:rsid w:val="00B40D39"/>
    <w:rsid w:val="00B52AF7"/>
    <w:rsid w:val="00B545F5"/>
    <w:rsid w:val="00B83BB8"/>
    <w:rsid w:val="00BA0522"/>
    <w:rsid w:val="00BB425D"/>
    <w:rsid w:val="00BE0456"/>
    <w:rsid w:val="00BE5F5A"/>
    <w:rsid w:val="00BE64A5"/>
    <w:rsid w:val="00BF1C19"/>
    <w:rsid w:val="00C14653"/>
    <w:rsid w:val="00C23192"/>
    <w:rsid w:val="00C26217"/>
    <w:rsid w:val="00C5669C"/>
    <w:rsid w:val="00C56D06"/>
    <w:rsid w:val="00CC5657"/>
    <w:rsid w:val="00CC581C"/>
    <w:rsid w:val="00CD3B3B"/>
    <w:rsid w:val="00CE2C18"/>
    <w:rsid w:val="00CF0F17"/>
    <w:rsid w:val="00CF3C2D"/>
    <w:rsid w:val="00D213F5"/>
    <w:rsid w:val="00D35D47"/>
    <w:rsid w:val="00D40FE4"/>
    <w:rsid w:val="00D43148"/>
    <w:rsid w:val="00D5346B"/>
    <w:rsid w:val="00D539D4"/>
    <w:rsid w:val="00D64039"/>
    <w:rsid w:val="00D676CF"/>
    <w:rsid w:val="00D77BE3"/>
    <w:rsid w:val="00D868BA"/>
    <w:rsid w:val="00DA2846"/>
    <w:rsid w:val="00DB2D47"/>
    <w:rsid w:val="00DD1C95"/>
    <w:rsid w:val="00DE23E6"/>
    <w:rsid w:val="00DE7607"/>
    <w:rsid w:val="00E22F97"/>
    <w:rsid w:val="00E55FEE"/>
    <w:rsid w:val="00E63848"/>
    <w:rsid w:val="00E90E94"/>
    <w:rsid w:val="00E94D76"/>
    <w:rsid w:val="00EA0E99"/>
    <w:rsid w:val="00EA2786"/>
    <w:rsid w:val="00EB6181"/>
    <w:rsid w:val="00EC0600"/>
    <w:rsid w:val="00EC74D0"/>
    <w:rsid w:val="00ED250E"/>
    <w:rsid w:val="00ED6D35"/>
    <w:rsid w:val="00EE4016"/>
    <w:rsid w:val="00EE5B06"/>
    <w:rsid w:val="00F11493"/>
    <w:rsid w:val="00F15AE8"/>
    <w:rsid w:val="00F320F2"/>
    <w:rsid w:val="00F36390"/>
    <w:rsid w:val="00F40050"/>
    <w:rsid w:val="00F525D3"/>
    <w:rsid w:val="00F5400E"/>
    <w:rsid w:val="00F84A5D"/>
    <w:rsid w:val="00FB0AE6"/>
    <w:rsid w:val="00FD4827"/>
    <w:rsid w:val="00FD5980"/>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F54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paragraph" w:styleId="NormalWeb">
    <w:name w:val="Normal (Web)"/>
    <w:basedOn w:val="Normal"/>
    <w:uiPriority w:val="99"/>
    <w:semiHidden/>
    <w:unhideWhenUsed/>
    <w:rsid w:val="009D1C45"/>
    <w:rPr>
      <w:rFonts w:ascii="Calibri" w:eastAsiaTheme="minorHAnsi" w:hAnsi="Calibri" w:cs="Calibri"/>
      <w:sz w:val="22"/>
      <w:szCs w:val="22"/>
    </w:rPr>
  </w:style>
  <w:style w:type="paragraph" w:customStyle="1" w:styleId="elementtoproof">
    <w:name w:val="elementtoproof"/>
    <w:basedOn w:val="Normal"/>
    <w:uiPriority w:val="99"/>
    <w:semiHidden/>
    <w:rsid w:val="009D1C45"/>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739DC"/>
    <w:rPr>
      <w:color w:val="605E5C"/>
      <w:shd w:val="clear" w:color="auto" w:fill="E1DFDD"/>
    </w:rPr>
  </w:style>
  <w:style w:type="character" w:customStyle="1" w:styleId="Heading1Char">
    <w:name w:val="Heading 1 Char"/>
    <w:basedOn w:val="DefaultParagraphFont"/>
    <w:link w:val="Heading1"/>
    <w:uiPriority w:val="9"/>
    <w:rsid w:val="004F542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A08C6"/>
    <w:rPr>
      <w:sz w:val="24"/>
      <w:szCs w:val="24"/>
    </w:rPr>
  </w:style>
  <w:style w:type="character" w:styleId="CommentReference">
    <w:name w:val="annotation reference"/>
    <w:basedOn w:val="DefaultParagraphFont"/>
    <w:uiPriority w:val="99"/>
    <w:semiHidden/>
    <w:unhideWhenUsed/>
    <w:rsid w:val="00E90E94"/>
    <w:rPr>
      <w:sz w:val="16"/>
      <w:szCs w:val="16"/>
    </w:rPr>
  </w:style>
  <w:style w:type="paragraph" w:styleId="CommentText">
    <w:name w:val="annotation text"/>
    <w:basedOn w:val="Normal"/>
    <w:link w:val="CommentTextChar"/>
    <w:uiPriority w:val="99"/>
    <w:semiHidden/>
    <w:unhideWhenUsed/>
    <w:rsid w:val="00E90E94"/>
    <w:rPr>
      <w:sz w:val="20"/>
      <w:szCs w:val="20"/>
    </w:rPr>
  </w:style>
  <w:style w:type="character" w:customStyle="1" w:styleId="CommentTextChar">
    <w:name w:val="Comment Text Char"/>
    <w:basedOn w:val="DefaultParagraphFont"/>
    <w:link w:val="CommentText"/>
    <w:uiPriority w:val="99"/>
    <w:semiHidden/>
    <w:rsid w:val="00E90E94"/>
  </w:style>
  <w:style w:type="paragraph" w:styleId="CommentSubject">
    <w:name w:val="annotation subject"/>
    <w:basedOn w:val="CommentText"/>
    <w:next w:val="CommentText"/>
    <w:link w:val="CommentSubjectChar"/>
    <w:uiPriority w:val="99"/>
    <w:semiHidden/>
    <w:unhideWhenUsed/>
    <w:rsid w:val="00E90E94"/>
    <w:rPr>
      <w:b/>
      <w:bCs/>
    </w:rPr>
  </w:style>
  <w:style w:type="character" w:customStyle="1" w:styleId="CommentSubjectChar">
    <w:name w:val="Comment Subject Char"/>
    <w:basedOn w:val="CommentTextChar"/>
    <w:link w:val="CommentSubject"/>
    <w:uiPriority w:val="99"/>
    <w:semiHidden/>
    <w:rsid w:val="00E90E94"/>
    <w:rPr>
      <w:b/>
      <w:bCs/>
    </w:rPr>
  </w:style>
  <w:style w:type="character" w:customStyle="1" w:styleId="UnresolvedMention2">
    <w:name w:val="Unresolved Mention2"/>
    <w:basedOn w:val="DefaultParagraphFont"/>
    <w:uiPriority w:val="99"/>
    <w:semiHidden/>
    <w:unhideWhenUsed/>
    <w:rsid w:val="002F41A9"/>
    <w:rPr>
      <w:color w:val="605E5C"/>
      <w:shd w:val="clear" w:color="auto" w:fill="E1DFDD"/>
    </w:rPr>
  </w:style>
  <w:style w:type="paragraph" w:styleId="ListParagraph">
    <w:name w:val="List Paragraph"/>
    <w:basedOn w:val="Normal"/>
    <w:uiPriority w:val="34"/>
    <w:qFormat/>
    <w:rsid w:val="00904F1D"/>
    <w:pPr>
      <w:spacing w:after="160" w:line="259" w:lineRule="auto"/>
      <w:ind w:left="720"/>
      <w:contextualSpacing/>
    </w:pPr>
    <w:rPr>
      <w:rFonts w:ascii="Calibri" w:eastAsia="Calibri" w:hAnsi="Calibri"/>
      <w:sz w:val="22"/>
      <w:szCs w:val="22"/>
    </w:rPr>
  </w:style>
  <w:style w:type="paragraph" w:customStyle="1" w:styleId="Overall">
    <w:name w:val="Overall"/>
    <w:basedOn w:val="Normal"/>
    <w:rsid w:val="00904F1D"/>
    <w:pPr>
      <w:spacing w:line="480" w:lineRule="auto"/>
    </w:pPr>
    <w:rPr>
      <w:rFonts w:ascii="Times New Roman" w:eastAsia="Times New Roman" w:hAnsi="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855">
      <w:bodyDiv w:val="1"/>
      <w:marLeft w:val="0"/>
      <w:marRight w:val="0"/>
      <w:marTop w:val="0"/>
      <w:marBottom w:val="0"/>
      <w:divBdr>
        <w:top w:val="none" w:sz="0" w:space="0" w:color="auto"/>
        <w:left w:val="none" w:sz="0" w:space="0" w:color="auto"/>
        <w:bottom w:val="none" w:sz="0" w:space="0" w:color="auto"/>
        <w:right w:val="none" w:sz="0" w:space="0" w:color="auto"/>
      </w:divBdr>
      <w:divsChild>
        <w:div w:id="1242568872">
          <w:marLeft w:val="1526"/>
          <w:marRight w:val="0"/>
          <w:marTop w:val="0"/>
          <w:marBottom w:val="0"/>
          <w:divBdr>
            <w:top w:val="none" w:sz="0" w:space="0" w:color="auto"/>
            <w:left w:val="none" w:sz="0" w:space="0" w:color="auto"/>
            <w:bottom w:val="none" w:sz="0" w:space="0" w:color="auto"/>
            <w:right w:val="none" w:sz="0" w:space="0" w:color="auto"/>
          </w:divBdr>
        </w:div>
        <w:div w:id="14698977">
          <w:marLeft w:val="1526"/>
          <w:marRight w:val="0"/>
          <w:marTop w:val="0"/>
          <w:marBottom w:val="0"/>
          <w:divBdr>
            <w:top w:val="none" w:sz="0" w:space="0" w:color="auto"/>
            <w:left w:val="none" w:sz="0" w:space="0" w:color="auto"/>
            <w:bottom w:val="none" w:sz="0" w:space="0" w:color="auto"/>
            <w:right w:val="none" w:sz="0" w:space="0" w:color="auto"/>
          </w:divBdr>
        </w:div>
        <w:div w:id="875628264">
          <w:marLeft w:val="1526"/>
          <w:marRight w:val="0"/>
          <w:marTop w:val="0"/>
          <w:marBottom w:val="0"/>
          <w:divBdr>
            <w:top w:val="none" w:sz="0" w:space="0" w:color="auto"/>
            <w:left w:val="none" w:sz="0" w:space="0" w:color="auto"/>
            <w:bottom w:val="none" w:sz="0" w:space="0" w:color="auto"/>
            <w:right w:val="none" w:sz="0" w:space="0" w:color="auto"/>
          </w:divBdr>
        </w:div>
        <w:div w:id="1169783967">
          <w:marLeft w:val="1526"/>
          <w:marRight w:val="0"/>
          <w:marTop w:val="0"/>
          <w:marBottom w:val="0"/>
          <w:divBdr>
            <w:top w:val="none" w:sz="0" w:space="0" w:color="auto"/>
            <w:left w:val="none" w:sz="0" w:space="0" w:color="auto"/>
            <w:bottom w:val="none" w:sz="0" w:space="0" w:color="auto"/>
            <w:right w:val="none" w:sz="0" w:space="0" w:color="auto"/>
          </w:divBdr>
        </w:div>
      </w:divsChild>
    </w:div>
    <w:div w:id="256446602">
      <w:bodyDiv w:val="1"/>
      <w:marLeft w:val="0"/>
      <w:marRight w:val="0"/>
      <w:marTop w:val="0"/>
      <w:marBottom w:val="0"/>
      <w:divBdr>
        <w:top w:val="none" w:sz="0" w:space="0" w:color="auto"/>
        <w:left w:val="none" w:sz="0" w:space="0" w:color="auto"/>
        <w:bottom w:val="none" w:sz="0" w:space="0" w:color="auto"/>
        <w:right w:val="none" w:sz="0" w:space="0" w:color="auto"/>
      </w:divBdr>
    </w:div>
    <w:div w:id="671103683">
      <w:bodyDiv w:val="1"/>
      <w:marLeft w:val="0"/>
      <w:marRight w:val="0"/>
      <w:marTop w:val="0"/>
      <w:marBottom w:val="0"/>
      <w:divBdr>
        <w:top w:val="none" w:sz="0" w:space="0" w:color="auto"/>
        <w:left w:val="none" w:sz="0" w:space="0" w:color="auto"/>
        <w:bottom w:val="none" w:sz="0" w:space="0" w:color="auto"/>
        <w:right w:val="none" w:sz="0" w:space="0" w:color="auto"/>
      </w:divBdr>
    </w:div>
    <w:div w:id="798034995">
      <w:bodyDiv w:val="1"/>
      <w:marLeft w:val="0"/>
      <w:marRight w:val="0"/>
      <w:marTop w:val="0"/>
      <w:marBottom w:val="0"/>
      <w:divBdr>
        <w:top w:val="none" w:sz="0" w:space="0" w:color="auto"/>
        <w:left w:val="none" w:sz="0" w:space="0" w:color="auto"/>
        <w:bottom w:val="none" w:sz="0" w:space="0" w:color="auto"/>
        <w:right w:val="none" w:sz="0" w:space="0" w:color="auto"/>
      </w:divBdr>
    </w:div>
    <w:div w:id="931745822">
      <w:bodyDiv w:val="1"/>
      <w:marLeft w:val="0"/>
      <w:marRight w:val="0"/>
      <w:marTop w:val="0"/>
      <w:marBottom w:val="0"/>
      <w:divBdr>
        <w:top w:val="none" w:sz="0" w:space="0" w:color="auto"/>
        <w:left w:val="none" w:sz="0" w:space="0" w:color="auto"/>
        <w:bottom w:val="none" w:sz="0" w:space="0" w:color="auto"/>
        <w:right w:val="none" w:sz="0" w:space="0" w:color="auto"/>
      </w:divBdr>
      <w:divsChild>
        <w:div w:id="108545978">
          <w:marLeft w:val="1526"/>
          <w:marRight w:val="0"/>
          <w:marTop w:val="0"/>
          <w:marBottom w:val="0"/>
          <w:divBdr>
            <w:top w:val="none" w:sz="0" w:space="0" w:color="auto"/>
            <w:left w:val="none" w:sz="0" w:space="0" w:color="auto"/>
            <w:bottom w:val="none" w:sz="0" w:space="0" w:color="auto"/>
            <w:right w:val="none" w:sz="0" w:space="0" w:color="auto"/>
          </w:divBdr>
        </w:div>
      </w:divsChild>
    </w:div>
    <w:div w:id="1053502989">
      <w:bodyDiv w:val="1"/>
      <w:marLeft w:val="0"/>
      <w:marRight w:val="0"/>
      <w:marTop w:val="0"/>
      <w:marBottom w:val="0"/>
      <w:divBdr>
        <w:top w:val="none" w:sz="0" w:space="0" w:color="auto"/>
        <w:left w:val="none" w:sz="0" w:space="0" w:color="auto"/>
        <w:bottom w:val="none" w:sz="0" w:space="0" w:color="auto"/>
        <w:right w:val="none" w:sz="0" w:space="0" w:color="auto"/>
      </w:divBdr>
    </w:div>
    <w:div w:id="1314482782">
      <w:bodyDiv w:val="1"/>
      <w:marLeft w:val="0"/>
      <w:marRight w:val="0"/>
      <w:marTop w:val="0"/>
      <w:marBottom w:val="0"/>
      <w:divBdr>
        <w:top w:val="none" w:sz="0" w:space="0" w:color="auto"/>
        <w:left w:val="none" w:sz="0" w:space="0" w:color="auto"/>
        <w:bottom w:val="none" w:sz="0" w:space="0" w:color="auto"/>
        <w:right w:val="none" w:sz="0" w:space="0" w:color="auto"/>
      </w:divBdr>
      <w:divsChild>
        <w:div w:id="246380701">
          <w:marLeft w:val="1670"/>
          <w:marRight w:val="0"/>
          <w:marTop w:val="60"/>
          <w:marBottom w:val="0"/>
          <w:divBdr>
            <w:top w:val="none" w:sz="0" w:space="0" w:color="auto"/>
            <w:left w:val="none" w:sz="0" w:space="0" w:color="auto"/>
            <w:bottom w:val="none" w:sz="0" w:space="0" w:color="auto"/>
            <w:right w:val="none" w:sz="0" w:space="0" w:color="auto"/>
          </w:divBdr>
        </w:div>
      </w:divsChild>
    </w:div>
    <w:div w:id="1567494115">
      <w:bodyDiv w:val="1"/>
      <w:marLeft w:val="0"/>
      <w:marRight w:val="0"/>
      <w:marTop w:val="0"/>
      <w:marBottom w:val="0"/>
      <w:divBdr>
        <w:top w:val="none" w:sz="0" w:space="0" w:color="auto"/>
        <w:left w:val="none" w:sz="0" w:space="0" w:color="auto"/>
        <w:bottom w:val="none" w:sz="0" w:space="0" w:color="auto"/>
        <w:right w:val="none" w:sz="0" w:space="0" w:color="auto"/>
      </w:divBdr>
    </w:div>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 w:id="1816220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5F4F21A9-C45F-47BF-BB02-5FF70B5913EE}">
  <ds:schemaRefs>
    <ds:schemaRef ds:uri="http://schemas.openxmlformats.org/officeDocument/2006/bibliography"/>
  </ds:schemaRefs>
</ds:datastoreItem>
</file>

<file path=customXml/itemProps2.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4.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template.dotx</Template>
  <TotalTime>3</TotalTime>
  <Pages>4</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Rev</cp:lastModifiedBy>
  <cp:revision>3</cp:revision>
  <cp:lastPrinted>2017-07-18T20:28:00Z</cp:lastPrinted>
  <dcterms:created xsi:type="dcterms:W3CDTF">2024-02-28T23:24:00Z</dcterms:created>
  <dcterms:modified xsi:type="dcterms:W3CDTF">2024-02-28T23:27:00Z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y fmtid="{D5CDD505-2E9C-101B-9397-08002B2CF9AE}" pid="6" name="GrammarlyDocumentId">
    <vt:lpwstr>1afb52bd74c0b6de5d159589f8dbd0e2ff8d29a6ef9be47a2a006900ff27dd38</vt:lpwstr>
  </property>
</Properties>
</file>