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3"/>
      </w:tblGrid>
      <w:tr w:rsidR="006D4713" w:rsidRPr="006B2DCF" w14:paraId="6C68AC80" w14:textId="77777777" w:rsidTr="00D559EE">
        <w:trPr>
          <w:trHeight w:val="598"/>
          <w:jc w:val="center"/>
        </w:trPr>
        <w:tc>
          <w:tcPr>
            <w:tcW w:w="10343" w:type="dxa"/>
            <w:shd w:val="clear" w:color="auto" w:fill="auto"/>
          </w:tcPr>
          <w:p w14:paraId="6C68AC7F" w14:textId="30AB80FA" w:rsidR="006D4713" w:rsidRPr="006B2DCF" w:rsidRDefault="008F2863" w:rsidP="009C198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bookmarkStart w:id="0" w:name="_GoBack"/>
            <w:r w:rsidRPr="006B2DC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Evaluating the </w:t>
            </w:r>
            <w:r w:rsidR="00D93DAA" w:rsidRPr="006B2DC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Clinical Utility of </w:t>
            </w:r>
            <w:r w:rsidRPr="006B2DC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Routine </w:t>
            </w:r>
            <w:r w:rsidR="00D93DAA" w:rsidRPr="006B2DC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Nasal Nitric Oxide</w:t>
            </w:r>
            <w:bookmarkEnd w:id="0"/>
          </w:p>
        </w:tc>
      </w:tr>
      <w:tr w:rsidR="006D4713" w:rsidRPr="006B2DCF" w14:paraId="6C68AC82" w14:textId="77777777" w:rsidTr="00D559EE">
        <w:trPr>
          <w:trHeight w:val="598"/>
          <w:jc w:val="center"/>
        </w:trPr>
        <w:tc>
          <w:tcPr>
            <w:tcW w:w="10343" w:type="dxa"/>
            <w:shd w:val="clear" w:color="auto" w:fill="auto"/>
          </w:tcPr>
          <w:p w14:paraId="6C68AC81" w14:textId="034A3953" w:rsidR="006D4713" w:rsidRPr="006B2DCF" w:rsidRDefault="0010161B" w:rsidP="009C198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u w:val="single"/>
                <w:lang w:eastAsia="zh-CN"/>
              </w:rPr>
            </w:pPr>
            <w:r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Grace Madden</w:t>
            </w:r>
            <w:r w:rsidR="00FB7657"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CRFS</w:t>
            </w:r>
            <w:r w:rsidR="006D4713" w:rsidRPr="006B2DC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bookmarkStart w:id="1" w:name="Text8"/>
            <w:r w:rsidR="006D4713"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bookmarkEnd w:id="1"/>
            <w:r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Alcira Carballo</w:t>
            </w:r>
            <w:r w:rsidR="00FB7657"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CRFS</w:t>
            </w:r>
            <w:r w:rsidRPr="006B2DC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6D4713"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</w:t>
            </w:r>
            <w:r w:rsidR="00FB7657"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Ass. Prof</w:t>
            </w:r>
            <w:r w:rsidR="008C5E40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.</w:t>
            </w:r>
            <w:r w:rsidR="00FB7657"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Lucy Burr</w:t>
            </w:r>
            <w:r w:rsidRPr="006B2DC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</w:p>
        </w:tc>
      </w:tr>
      <w:tr w:rsidR="006D4713" w:rsidRPr="006B2DCF" w14:paraId="6C68AC88" w14:textId="77777777" w:rsidTr="00D559EE">
        <w:trPr>
          <w:trHeight w:val="165"/>
          <w:jc w:val="center"/>
        </w:trPr>
        <w:tc>
          <w:tcPr>
            <w:tcW w:w="10343" w:type="dxa"/>
            <w:shd w:val="clear" w:color="auto" w:fill="auto"/>
          </w:tcPr>
          <w:p w14:paraId="6C68AC87" w14:textId="4B63B260" w:rsidR="006D4713" w:rsidRPr="006B2DCF" w:rsidRDefault="006D4713" w:rsidP="00D62717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 w:rsidRPr="006B2DC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10161B" w:rsidRPr="006B2DCF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Mater Health Services</w:t>
            </w:r>
          </w:p>
        </w:tc>
      </w:tr>
      <w:tr w:rsidR="006D4713" w:rsidRPr="006B2DCF" w14:paraId="6C68ACA3" w14:textId="77777777" w:rsidTr="00D559EE">
        <w:trPr>
          <w:trHeight w:hRule="exact" w:val="12195"/>
          <w:jc w:val="center"/>
        </w:trPr>
        <w:tc>
          <w:tcPr>
            <w:tcW w:w="10343" w:type="dxa"/>
            <w:shd w:val="clear" w:color="auto" w:fill="auto"/>
          </w:tcPr>
          <w:p w14:paraId="6C68AC89" w14:textId="77777777" w:rsidR="006D4713" w:rsidRPr="006B2DCF" w:rsidRDefault="00752808" w:rsidP="009C1987">
            <w:pPr>
              <w:pStyle w:val="Pa12"/>
              <w:rPr>
                <w:rStyle w:val="A4"/>
              </w:rPr>
            </w:pPr>
            <w:r w:rsidRPr="006B2DCF">
              <w:rPr>
                <w:rStyle w:val="A4"/>
                <w:b/>
                <w:bCs/>
              </w:rPr>
              <w:t>Introduction/</w:t>
            </w:r>
            <w:r w:rsidR="006D4713" w:rsidRPr="006B2DCF">
              <w:rPr>
                <w:rStyle w:val="A4"/>
                <w:b/>
                <w:bCs/>
              </w:rPr>
              <w:t xml:space="preserve">Aim: </w:t>
            </w:r>
          </w:p>
          <w:p w14:paraId="6C68AC8B" w14:textId="469A4838" w:rsidR="006D4713" w:rsidRPr="006B2DCF" w:rsidRDefault="001F4DDB" w:rsidP="006B2DCF">
            <w:pPr>
              <w:pStyle w:val="Pa12"/>
              <w:jc w:val="both"/>
              <w:rPr>
                <w:sz w:val="22"/>
                <w:szCs w:val="22"/>
              </w:rPr>
            </w:pPr>
            <w:r w:rsidRPr="006B2DCF">
              <w:rPr>
                <w:sz w:val="22"/>
                <w:szCs w:val="22"/>
              </w:rPr>
              <w:t>Nasal nitric oxide (nNO) testing</w:t>
            </w:r>
            <w:r w:rsidR="0084465C" w:rsidRPr="006B2DCF">
              <w:rPr>
                <w:sz w:val="22"/>
                <w:szCs w:val="22"/>
              </w:rPr>
              <w:t xml:space="preserve"> is recommended as a screening tool </w:t>
            </w:r>
            <w:r w:rsidRPr="006B2DCF">
              <w:rPr>
                <w:sz w:val="22"/>
                <w:szCs w:val="22"/>
              </w:rPr>
              <w:t>for the</w:t>
            </w:r>
            <w:r w:rsidR="0084465C" w:rsidRPr="006B2DCF">
              <w:rPr>
                <w:sz w:val="22"/>
                <w:szCs w:val="22"/>
              </w:rPr>
              <w:t xml:space="preserve"> assessment </w:t>
            </w:r>
            <w:r w:rsidRPr="006B2DCF">
              <w:rPr>
                <w:sz w:val="22"/>
                <w:szCs w:val="22"/>
              </w:rPr>
              <w:t xml:space="preserve">of impaired ciliary motion abnormalities in diseases such as Primary </w:t>
            </w:r>
            <w:r w:rsidR="0001293C">
              <w:rPr>
                <w:sz w:val="22"/>
                <w:szCs w:val="22"/>
              </w:rPr>
              <w:t>C</w:t>
            </w:r>
            <w:r w:rsidRPr="006B2DCF">
              <w:rPr>
                <w:sz w:val="22"/>
                <w:szCs w:val="22"/>
              </w:rPr>
              <w:t xml:space="preserve">iliary </w:t>
            </w:r>
            <w:r w:rsidR="0001293C">
              <w:rPr>
                <w:sz w:val="22"/>
                <w:szCs w:val="22"/>
              </w:rPr>
              <w:t>D</w:t>
            </w:r>
            <w:r w:rsidRPr="006B2DCF">
              <w:rPr>
                <w:sz w:val="22"/>
                <w:szCs w:val="22"/>
              </w:rPr>
              <w:t>yskinesia (PCD) and Bronchiectasis</w:t>
            </w:r>
            <w:r w:rsidR="0044392F" w:rsidRPr="006B2DCF">
              <w:rPr>
                <w:sz w:val="22"/>
                <w:szCs w:val="22"/>
              </w:rPr>
              <w:t xml:space="preserve"> (BE)</w:t>
            </w:r>
            <w:r w:rsidRPr="006B2DCF">
              <w:rPr>
                <w:sz w:val="22"/>
                <w:szCs w:val="22"/>
              </w:rPr>
              <w:t>.</w:t>
            </w:r>
            <w:r w:rsidR="008B0E5A" w:rsidRPr="006B2DCF">
              <w:rPr>
                <w:sz w:val="22"/>
                <w:szCs w:val="22"/>
              </w:rPr>
              <w:t xml:space="preserve"> The</w:t>
            </w:r>
            <w:r w:rsidR="00813B40" w:rsidRPr="006B2DCF">
              <w:rPr>
                <w:sz w:val="22"/>
                <w:szCs w:val="22"/>
              </w:rPr>
              <w:t xml:space="preserve"> </w:t>
            </w:r>
            <w:r w:rsidR="008B0E5A" w:rsidRPr="006B2DCF">
              <w:rPr>
                <w:sz w:val="22"/>
                <w:szCs w:val="22"/>
              </w:rPr>
              <w:t>range of normal is not well defined in these patient populations</w:t>
            </w:r>
            <w:r w:rsidR="0010161B" w:rsidRPr="006B2DCF">
              <w:rPr>
                <w:sz w:val="22"/>
                <w:szCs w:val="22"/>
              </w:rPr>
              <w:t xml:space="preserve">, nor is the </w:t>
            </w:r>
            <w:r w:rsidR="00E7758B" w:rsidRPr="006B2DCF">
              <w:rPr>
                <w:sz w:val="22"/>
                <w:szCs w:val="22"/>
              </w:rPr>
              <w:t xml:space="preserve">routine </w:t>
            </w:r>
            <w:r w:rsidR="0010161B" w:rsidRPr="006B2DCF">
              <w:rPr>
                <w:sz w:val="22"/>
                <w:szCs w:val="22"/>
              </w:rPr>
              <w:t>clinical utility of this test</w:t>
            </w:r>
            <w:r w:rsidR="00BB6235" w:rsidRPr="006B2DCF">
              <w:rPr>
                <w:sz w:val="22"/>
                <w:szCs w:val="22"/>
              </w:rPr>
              <w:t xml:space="preserve">. </w:t>
            </w:r>
            <w:r w:rsidR="00DA31F9" w:rsidRPr="006B2DCF">
              <w:rPr>
                <w:sz w:val="22"/>
                <w:szCs w:val="22"/>
              </w:rPr>
              <w:t xml:space="preserve">This study </w:t>
            </w:r>
            <w:r w:rsidR="00BB6235" w:rsidRPr="006B2DCF">
              <w:rPr>
                <w:sz w:val="22"/>
                <w:szCs w:val="22"/>
              </w:rPr>
              <w:t>aim</w:t>
            </w:r>
            <w:r w:rsidR="00DA31F9" w:rsidRPr="006B2DCF">
              <w:rPr>
                <w:sz w:val="22"/>
                <w:szCs w:val="22"/>
              </w:rPr>
              <w:t>s</w:t>
            </w:r>
            <w:r w:rsidR="00BB6235" w:rsidRPr="006B2DCF">
              <w:rPr>
                <w:sz w:val="22"/>
                <w:szCs w:val="22"/>
              </w:rPr>
              <w:t xml:space="preserve"> to evaluate </w:t>
            </w:r>
            <w:r w:rsidR="00E7758B" w:rsidRPr="006B2DCF">
              <w:rPr>
                <w:sz w:val="22"/>
                <w:szCs w:val="22"/>
              </w:rPr>
              <w:t xml:space="preserve">(a) </w:t>
            </w:r>
            <w:r w:rsidR="00BB6235" w:rsidRPr="006B2DCF">
              <w:rPr>
                <w:sz w:val="22"/>
                <w:szCs w:val="22"/>
              </w:rPr>
              <w:t xml:space="preserve">the viability of nNO in </w:t>
            </w:r>
            <w:r w:rsidR="001204FB" w:rsidRPr="006B2DCF">
              <w:rPr>
                <w:sz w:val="22"/>
                <w:szCs w:val="22"/>
              </w:rPr>
              <w:t xml:space="preserve">routine </w:t>
            </w:r>
            <w:r w:rsidR="00BB6235" w:rsidRPr="006B2DCF">
              <w:rPr>
                <w:sz w:val="22"/>
                <w:szCs w:val="22"/>
              </w:rPr>
              <w:t xml:space="preserve">clinical assessment and </w:t>
            </w:r>
            <w:r w:rsidR="00E7758B" w:rsidRPr="006B2DCF">
              <w:rPr>
                <w:sz w:val="22"/>
                <w:szCs w:val="22"/>
              </w:rPr>
              <w:t xml:space="preserve">(b) </w:t>
            </w:r>
            <w:r w:rsidR="00BB6235" w:rsidRPr="006B2DCF">
              <w:rPr>
                <w:sz w:val="22"/>
                <w:szCs w:val="22"/>
              </w:rPr>
              <w:t>explore the range of values within our patient population</w:t>
            </w:r>
            <w:r w:rsidR="00E7758B" w:rsidRPr="006B2DCF">
              <w:rPr>
                <w:sz w:val="22"/>
                <w:szCs w:val="22"/>
              </w:rPr>
              <w:t>.</w:t>
            </w:r>
          </w:p>
          <w:p w14:paraId="6C68AC8C" w14:textId="77777777" w:rsidR="006D4713" w:rsidRPr="006B2DCF" w:rsidRDefault="006D4713" w:rsidP="006B2DCF">
            <w:pPr>
              <w:pStyle w:val="Pa12"/>
              <w:jc w:val="both"/>
              <w:rPr>
                <w:rStyle w:val="A4"/>
                <w:bCs/>
              </w:rPr>
            </w:pPr>
          </w:p>
          <w:p w14:paraId="6C68AC8D" w14:textId="77777777" w:rsidR="006D4713" w:rsidRPr="006B2DCF" w:rsidRDefault="006D4713" w:rsidP="006B2DCF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6B2DCF">
              <w:rPr>
                <w:rStyle w:val="A4"/>
                <w:b/>
                <w:bCs/>
              </w:rPr>
              <w:t xml:space="preserve">Method: </w:t>
            </w:r>
          </w:p>
          <w:p w14:paraId="6C68AC8E" w14:textId="3B40AC5E" w:rsidR="006D4713" w:rsidRPr="006B2DCF" w:rsidRDefault="007D7CF1" w:rsidP="006B2DC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nNO was measured in healthy volunteers and specific disease groups as part of routine clinical assessment.</w:t>
            </w:r>
            <w:r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 </w:t>
            </w: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Disease subgroups included PCD, </w:t>
            </w:r>
            <w:r w:rsidR="00960633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BE</w:t>
            </w: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, Cystic Fibrosis</w:t>
            </w:r>
            <w:r w:rsidR="0001293C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 </w:t>
            </w: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(CF) and Asthma</w:t>
            </w:r>
            <w:r w:rsidR="0001293C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/BE</w:t>
            </w: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. A closed velum manoeuvre was performed using a stationary electrochemical sensor (Medisoft FeNO). </w:t>
            </w:r>
            <w:r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R</w:t>
            </w: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epeated </w:t>
            </w:r>
            <w:r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nNO </w:t>
            </w: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measures</w:t>
            </w:r>
            <w:r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 were used to assess clinical utility over time</w:t>
            </w:r>
            <w:r w:rsidR="00821855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, correlating </w:t>
            </w:r>
            <w:r w:rsidRPr="001E66B3">
              <w:rPr>
                <w:rFonts w:ascii="Arial" w:eastAsiaTheme="minorHAnsi" w:hAnsi="Arial" w:cs="Arial"/>
                <w:sz w:val="22"/>
                <w:szCs w:val="22"/>
                <w:lang w:val="en-AU"/>
              </w:rPr>
              <w:t xml:space="preserve">values with FEV1. </w:t>
            </w: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Comparisons of nNO were made for the whole cohort, and between healthy and diseased subgroups.</w:t>
            </w:r>
            <w:r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 </w:t>
            </w:r>
            <w:r w:rsidRPr="006B2DCF">
              <w:rPr>
                <w:rFonts w:ascii="Arial" w:hAnsi="Arial" w:cs="Arial"/>
                <w:sz w:val="22"/>
                <w:szCs w:val="22"/>
              </w:rPr>
              <w:t>Statistical analysis included: Kruskal-Wallis, Dunns multiple comparisons</w:t>
            </w:r>
            <w:r w:rsidR="001E66B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B2DCF">
              <w:rPr>
                <w:rFonts w:ascii="Arial" w:hAnsi="Arial" w:cs="Arial"/>
                <w:sz w:val="22"/>
                <w:szCs w:val="22"/>
              </w:rPr>
              <w:t>Wilcoxon test</w:t>
            </w:r>
            <w:r w:rsidR="001E66B3">
              <w:rPr>
                <w:rFonts w:ascii="Arial" w:hAnsi="Arial" w:cs="Arial"/>
                <w:sz w:val="22"/>
                <w:szCs w:val="22"/>
              </w:rPr>
              <w:t xml:space="preserve"> and linear regression</w:t>
            </w:r>
            <w:r w:rsidR="00F04850" w:rsidRPr="006B2DCF">
              <w:rPr>
                <w:rFonts w:ascii="Arial" w:hAnsi="Arial" w:cs="Arial"/>
                <w:sz w:val="22"/>
                <w:szCs w:val="22"/>
              </w:rPr>
              <w:t xml:space="preserve">.  </w:t>
            </w:r>
            <w:r w:rsidR="00EA71D9" w:rsidRPr="006B2DC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C68AC90" w14:textId="77777777" w:rsidR="006D4713" w:rsidRPr="006B2DCF" w:rsidRDefault="006D4713" w:rsidP="009C1987">
            <w:pPr>
              <w:pStyle w:val="Pa12"/>
              <w:rPr>
                <w:rStyle w:val="A4"/>
                <w:bCs/>
              </w:rPr>
            </w:pPr>
          </w:p>
          <w:p w14:paraId="6C68AC91" w14:textId="77777777" w:rsidR="006D4713" w:rsidRPr="006B2DCF" w:rsidRDefault="006D4713" w:rsidP="009C1987">
            <w:pPr>
              <w:pStyle w:val="Pa12"/>
              <w:rPr>
                <w:rStyle w:val="A4"/>
                <w:b/>
                <w:bCs/>
              </w:rPr>
            </w:pPr>
            <w:r w:rsidRPr="006B2DCF">
              <w:rPr>
                <w:rStyle w:val="A4"/>
                <w:b/>
                <w:bCs/>
              </w:rPr>
              <w:t xml:space="preserve">Results: </w:t>
            </w:r>
          </w:p>
          <w:p w14:paraId="694B1C1E" w14:textId="15AF58F7" w:rsidR="00855060" w:rsidRPr="006B2DCF" w:rsidRDefault="00A6600E" w:rsidP="0085506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</w:pP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9</w:t>
            </w:r>
            <w:r w:rsidR="00EC5A07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6</w:t>
            </w: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 </w:t>
            </w:r>
            <w:r w:rsidR="00F60A67"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participants </w:t>
            </w:r>
            <w:r w:rsidR="004C297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(</w:t>
            </w:r>
            <w:r w:rsidR="0059710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79</w:t>
            </w:r>
            <w:r w:rsidR="00F60A67"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 </w:t>
            </w:r>
            <w:r w:rsidR="00640AEF"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females</w:t>
            </w:r>
            <w:r w:rsidR="00F60A67"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) were included</w:t>
            </w:r>
            <w:r w:rsidR="0059710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 with a mean age 60.1</w:t>
            </w:r>
            <w:r w:rsidR="008C5E40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 </w:t>
            </w:r>
            <w:r w:rsidR="008C5E40">
              <w:rPr>
                <w:rFonts w:ascii="Arial" w:hAnsi="Arial" w:cs="Arial"/>
                <w:color w:val="000000"/>
                <w:sz w:val="22"/>
                <w:szCs w:val="22"/>
              </w:rPr>
              <w:t>±</w:t>
            </w:r>
            <w:r w:rsidR="00B40C01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18.9</w:t>
            </w:r>
            <w:r w:rsidR="008C5E40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(</w:t>
            </w:r>
            <w:r w:rsidR="004C297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>SD)</w:t>
            </w:r>
            <w:r w:rsidR="00640AEF"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. </w:t>
            </w:r>
          </w:p>
          <w:tbl>
            <w:tblPr>
              <w:tblW w:w="100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85"/>
              <w:gridCol w:w="1559"/>
              <w:gridCol w:w="1560"/>
              <w:gridCol w:w="1559"/>
              <w:gridCol w:w="1559"/>
              <w:gridCol w:w="1559"/>
            </w:tblGrid>
            <w:tr w:rsidR="006B2DCF" w:rsidRPr="006B2DCF" w14:paraId="5F98C21C" w14:textId="77777777" w:rsidTr="0007413F">
              <w:trPr>
                <w:trHeight w:val="275"/>
              </w:trPr>
              <w:tc>
                <w:tcPr>
                  <w:tcW w:w="2285" w:type="dxa"/>
                  <w:shd w:val="clear" w:color="auto" w:fill="auto"/>
                  <w:noWrap/>
                  <w:vAlign w:val="bottom"/>
                  <w:hideMark/>
                </w:tcPr>
                <w:p w14:paraId="46DBC9C7" w14:textId="77777777" w:rsidR="00BD299A" w:rsidRPr="006B2DCF" w:rsidRDefault="00BD299A" w:rsidP="00BD299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8D8B999" w14:textId="77777777" w:rsidR="00BD299A" w:rsidRPr="006B2DCF" w:rsidRDefault="00BD299A" w:rsidP="00BD299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Control</w:t>
                  </w:r>
                </w:p>
              </w:tc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14:paraId="2D550869" w14:textId="580FF8D6" w:rsidR="00BD299A" w:rsidRPr="006B2DCF" w:rsidRDefault="00BD299A" w:rsidP="00BD299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PCD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230784A" w14:textId="3A2430C5" w:rsidR="00BD299A" w:rsidRPr="006B2DCF" w:rsidRDefault="00BD299A" w:rsidP="00BD299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BE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883880D" w14:textId="77777777" w:rsidR="00BD299A" w:rsidRPr="006B2DCF" w:rsidRDefault="00BD299A" w:rsidP="00BD299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CF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907140B" w14:textId="77777777" w:rsidR="00BD299A" w:rsidRPr="006B2DCF" w:rsidRDefault="00BD299A" w:rsidP="00BD299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Asthma/BE</w:t>
                  </w:r>
                </w:p>
              </w:tc>
            </w:tr>
            <w:tr w:rsidR="006B2DCF" w:rsidRPr="006B2DCF" w14:paraId="3D02FB5A" w14:textId="77777777" w:rsidTr="0007413F">
              <w:trPr>
                <w:trHeight w:val="275"/>
              </w:trPr>
              <w:tc>
                <w:tcPr>
                  <w:tcW w:w="2285" w:type="dxa"/>
                  <w:shd w:val="clear" w:color="auto" w:fill="auto"/>
                  <w:noWrap/>
                  <w:vAlign w:val="bottom"/>
                  <w:hideMark/>
                </w:tcPr>
                <w:p w14:paraId="025B9D65" w14:textId="77777777" w:rsidR="00BD299A" w:rsidRPr="006B2DCF" w:rsidRDefault="00BD299A" w:rsidP="00BD299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Subjects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FB1CA6A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14:paraId="32AF0A1F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02407EE" w14:textId="62B0B3BC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  <w:r w:rsidR="005C72E2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0150DF93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69DC108" w14:textId="623140CB" w:rsidR="00BD299A" w:rsidRPr="006B2DCF" w:rsidRDefault="00EC5A07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</w:t>
                  </w:r>
                </w:p>
              </w:tc>
            </w:tr>
            <w:tr w:rsidR="006B2DCF" w:rsidRPr="006B2DCF" w14:paraId="3BDD46D2" w14:textId="77777777" w:rsidTr="0007413F">
              <w:trPr>
                <w:trHeight w:val="275"/>
              </w:trPr>
              <w:tc>
                <w:tcPr>
                  <w:tcW w:w="2285" w:type="dxa"/>
                  <w:shd w:val="clear" w:color="auto" w:fill="auto"/>
                  <w:noWrap/>
                  <w:vAlign w:val="bottom"/>
                  <w:hideMark/>
                </w:tcPr>
                <w:p w14:paraId="367187A2" w14:textId="77777777" w:rsidR="00BD299A" w:rsidRPr="006B2DCF" w:rsidRDefault="00BD299A" w:rsidP="00BD299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Mean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(nL/min</w:t>
                  </w:r>
                  <w:r w:rsidRPr="0007413F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-1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C6D26D2" w14:textId="10A18018" w:rsidR="00BD299A" w:rsidRPr="006B2DCF" w:rsidRDefault="00BD299A" w:rsidP="00BD299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200 </w:t>
                  </w:r>
                  <w:r w:rsidR="000741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±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52(SD)</w:t>
                  </w:r>
                </w:p>
              </w:tc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14:paraId="42771F61" w14:textId="16C4037F" w:rsidR="00BD299A" w:rsidRPr="006B2DCF" w:rsidRDefault="00BD299A" w:rsidP="00BD299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29 </w:t>
                  </w:r>
                  <w:r w:rsidR="000741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±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19(SD)</w:t>
                  </w:r>
                  <w:r w:rsidR="00D4667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EFBA4F3" w14:textId="78C6EA96" w:rsidR="00BD299A" w:rsidRPr="006B2DCF" w:rsidRDefault="00BD299A" w:rsidP="00BD299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139 </w:t>
                  </w:r>
                  <w:r w:rsidR="000741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±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83(SD)</w:t>
                  </w:r>
                  <w:r w:rsidR="00D4667A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6F400E1" w14:textId="60851823" w:rsidR="00BD299A" w:rsidRPr="006B2DCF" w:rsidRDefault="00BD299A" w:rsidP="00BD299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153 </w:t>
                  </w:r>
                  <w:r w:rsidR="000741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±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66(SD)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19D2824B" w14:textId="6CFBE66E" w:rsidR="00BD299A" w:rsidRPr="006B2DCF" w:rsidRDefault="00BD299A" w:rsidP="00BD299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172 </w:t>
                  </w:r>
                  <w:r w:rsidR="0007413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±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92(SD)</w:t>
                  </w:r>
                </w:p>
              </w:tc>
            </w:tr>
            <w:tr w:rsidR="006B2DCF" w:rsidRPr="006B2DCF" w14:paraId="782C8C0A" w14:textId="77777777" w:rsidTr="0007413F">
              <w:trPr>
                <w:trHeight w:val="275"/>
              </w:trPr>
              <w:tc>
                <w:tcPr>
                  <w:tcW w:w="2285" w:type="dxa"/>
                  <w:shd w:val="clear" w:color="auto" w:fill="auto"/>
                  <w:noWrap/>
                  <w:vAlign w:val="bottom"/>
                  <w:hideMark/>
                </w:tcPr>
                <w:p w14:paraId="32F2BC62" w14:textId="1EBBC54E" w:rsidR="00BD299A" w:rsidRPr="006B2DCF" w:rsidRDefault="00BD299A" w:rsidP="00BD299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Minimum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(nL/min</w:t>
                  </w:r>
                  <w:r w:rsidRPr="0007413F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-1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531CA21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114.3</w:t>
                  </w:r>
                </w:p>
              </w:tc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14:paraId="02241541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9.5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3D501A1B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3.25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5066031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109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0A5153D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13.75</w:t>
                  </w:r>
                </w:p>
              </w:tc>
            </w:tr>
            <w:tr w:rsidR="006B2DCF" w:rsidRPr="006B2DCF" w14:paraId="14985596" w14:textId="77777777" w:rsidTr="0007413F">
              <w:trPr>
                <w:trHeight w:val="275"/>
              </w:trPr>
              <w:tc>
                <w:tcPr>
                  <w:tcW w:w="2285" w:type="dxa"/>
                  <w:shd w:val="clear" w:color="auto" w:fill="auto"/>
                  <w:noWrap/>
                  <w:vAlign w:val="bottom"/>
                  <w:hideMark/>
                </w:tcPr>
                <w:p w14:paraId="60055564" w14:textId="248CF7BC" w:rsidR="00BD299A" w:rsidRPr="006B2DCF" w:rsidRDefault="00BD299A" w:rsidP="00BD299A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Maximum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(nL/min</w:t>
                  </w:r>
                  <w:r w:rsidRPr="0007413F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-1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47A9BD9C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281.8</w:t>
                  </w:r>
                </w:p>
              </w:tc>
              <w:tc>
                <w:tcPr>
                  <w:tcW w:w="1560" w:type="dxa"/>
                  <w:shd w:val="clear" w:color="auto" w:fill="auto"/>
                  <w:noWrap/>
                  <w:vAlign w:val="bottom"/>
                  <w:hideMark/>
                </w:tcPr>
                <w:p w14:paraId="55DBF32B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67.75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720CAF3B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599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6BAB58E0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228.8</w:t>
                  </w:r>
                </w:p>
              </w:tc>
              <w:tc>
                <w:tcPr>
                  <w:tcW w:w="1559" w:type="dxa"/>
                  <w:shd w:val="clear" w:color="auto" w:fill="auto"/>
                  <w:noWrap/>
                  <w:vAlign w:val="bottom"/>
                  <w:hideMark/>
                </w:tcPr>
                <w:p w14:paraId="277D7FB0" w14:textId="77777777" w:rsidR="00BD299A" w:rsidRPr="006B2DCF" w:rsidRDefault="00BD299A" w:rsidP="00BD299A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282</w:t>
                  </w:r>
                </w:p>
              </w:tc>
            </w:tr>
          </w:tbl>
          <w:p w14:paraId="467EC05B" w14:textId="1A2C5B20" w:rsidR="007D7CF1" w:rsidRPr="00D4667A" w:rsidRDefault="007D7CF1" w:rsidP="00D466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>
              <w:rPr>
                <w:rFonts w:ascii="Arial" w:hAnsi="Arial" w:cs="Arial"/>
                <w:sz w:val="22"/>
                <w:szCs w:val="22"/>
                <w14:ligatures w14:val="standardContextual"/>
              </w:rPr>
              <w:t>*indicates a statistical difference between the control group and subgroup</w:t>
            </w:r>
          </w:p>
          <w:p w14:paraId="30EE6421" w14:textId="77777777" w:rsidR="007D7CF1" w:rsidRDefault="007D7CF1" w:rsidP="007D7CF1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E0B25C9" w14:textId="50A9C8C7" w:rsidR="007D7CF1" w:rsidRDefault="007D7CF1" w:rsidP="007D7CF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 w:rsidRPr="006B2DCF"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  <w:t xml:space="preserve">The </w:t>
            </w:r>
            <w:r w:rsidRPr="006B2DCF">
              <w:rPr>
                <w:rFonts w:ascii="Arial" w:hAnsi="Arial" w:cs="Arial"/>
                <w:sz w:val="22"/>
                <w:szCs w:val="22"/>
                <w14:ligatures w14:val="standardContextual"/>
              </w:rPr>
              <w:t>non-parametric ANOVA between all groups was significant (P=&lt;0.0001)</w:t>
            </w:r>
            <w:r w:rsidR="007061AA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Dunns multiple comparison of the control group versus disease subgroups showed statistical difference for </w:t>
            </w:r>
            <w:r w:rsidR="007061AA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only the </w:t>
            </w:r>
            <w:r>
              <w:rPr>
                <w:rFonts w:ascii="Arial" w:hAnsi="Arial" w:cs="Arial"/>
                <w:sz w:val="22"/>
                <w:szCs w:val="22"/>
                <w14:ligatures w14:val="standardContextual"/>
              </w:rPr>
              <w:t>PCD (P=&lt;0.0001) and BE (P=0.0275) subgroups.</w:t>
            </w:r>
          </w:p>
          <w:p w14:paraId="7BE6BF06" w14:textId="77777777" w:rsidR="000C0859" w:rsidRDefault="000C0859" w:rsidP="007D7CF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231F20"/>
                <w:sz w:val="22"/>
                <w:szCs w:val="22"/>
                <w:lang w:val="en-AU"/>
              </w:rPr>
            </w:pPr>
          </w:p>
          <w:p w14:paraId="059A56A1" w14:textId="1C9160D6" w:rsidR="00D4667A" w:rsidRDefault="00D4667A" w:rsidP="00D4667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 w:rsidRPr="006B2DCF">
              <w:rPr>
                <w:rFonts w:ascii="Arial" w:hAnsi="Arial" w:cs="Arial"/>
                <w:sz w:val="22"/>
                <w:szCs w:val="22"/>
                <w14:ligatures w14:val="standardContextual"/>
              </w:rPr>
              <w:t>The Wilcoxon test on repeated measures (n=1</w:t>
            </w:r>
            <w:r w:rsidR="00707209">
              <w:rPr>
                <w:rFonts w:ascii="Arial" w:hAnsi="Arial" w:cs="Arial"/>
                <w:sz w:val="22"/>
                <w:szCs w:val="22"/>
                <w14:ligatures w14:val="standardContextual"/>
              </w:rPr>
              <w:t>8</w:t>
            </w:r>
            <w:r w:rsidRPr="006B2DCF">
              <w:rPr>
                <w:rFonts w:ascii="Arial" w:hAnsi="Arial" w:cs="Arial"/>
                <w:sz w:val="22"/>
                <w:szCs w:val="22"/>
                <w14:ligatures w14:val="standardContextual"/>
              </w:rPr>
              <w:t>) showed no significant difference</w:t>
            </w:r>
            <w:r w:rsidR="001E66B3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in nNO</w:t>
            </w:r>
            <w:r w:rsidRPr="006B2DCF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(P=0.1704) between first (</w:t>
            </w:r>
            <w:r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95%CI </w:t>
            </w:r>
            <w:r w:rsidRPr="006B2DCF">
              <w:rPr>
                <w:rFonts w:ascii="Arial" w:hAnsi="Arial" w:cs="Arial"/>
                <w:sz w:val="22"/>
                <w:szCs w:val="22"/>
                <w14:ligatures w14:val="standardContextual"/>
              </w:rPr>
              <w:t>86.6, 169</w:t>
            </w:r>
            <w:r>
              <w:rPr>
                <w:rFonts w:ascii="Arial" w:hAnsi="Arial" w:cs="Arial"/>
                <w:sz w:val="22"/>
                <w:szCs w:val="22"/>
                <w14:ligatures w14:val="standardContextual"/>
              </w:rPr>
              <w:t>)</w:t>
            </w:r>
            <w:r w:rsidRPr="006B2DCF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and second test (</w:t>
            </w:r>
            <w:r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95%CI </w:t>
            </w:r>
            <w:r w:rsidRPr="006B2DCF">
              <w:rPr>
                <w:rFonts w:ascii="Arial" w:hAnsi="Arial" w:cs="Arial"/>
                <w:sz w:val="22"/>
                <w:szCs w:val="22"/>
                <w14:ligatures w14:val="standardContextual"/>
              </w:rPr>
              <w:t>89.4, 169)</w:t>
            </w:r>
            <w:r>
              <w:rPr>
                <w:rFonts w:ascii="Arial" w:hAnsi="Arial" w:cs="Arial"/>
                <w:sz w:val="22"/>
                <w:szCs w:val="22"/>
                <w14:ligatures w14:val="standardContextual"/>
              </w:rPr>
              <w:t>.</w:t>
            </w:r>
            <w:r w:rsidR="002338C4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</w:t>
            </w:r>
            <w:r w:rsidR="001E66B3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The </w:t>
            </w:r>
            <w:r w:rsidR="00BA3120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linear </w:t>
            </w:r>
            <w:r w:rsidR="00A7129C">
              <w:rPr>
                <w:rFonts w:ascii="Arial" w:hAnsi="Arial" w:cs="Arial"/>
                <w:sz w:val="22"/>
                <w:szCs w:val="22"/>
                <w14:ligatures w14:val="standardContextual"/>
              </w:rPr>
              <w:t>regression between</w:t>
            </w:r>
            <w:r w:rsidR="001E66B3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FEV1 and nNO was not significant</w:t>
            </w:r>
            <w:r w:rsidR="002338C4" w:rsidRPr="002338C4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</w:t>
            </w:r>
            <w:r w:rsidR="007F244F">
              <w:rPr>
                <w:rFonts w:ascii="Arial" w:hAnsi="Arial" w:cs="Arial"/>
                <w:sz w:val="22"/>
                <w:szCs w:val="22"/>
                <w14:ligatures w14:val="standardContextual"/>
              </w:rPr>
              <w:t>(</w:t>
            </w:r>
            <w:r w:rsidR="002338C4" w:rsidRPr="002338C4">
              <w:rPr>
                <w:rFonts w:ascii="Arial" w:hAnsi="Arial" w:cs="Arial"/>
                <w:sz w:val="22"/>
                <w:szCs w:val="22"/>
                <w14:ligatures w14:val="standardContextual"/>
              </w:rPr>
              <w:t>R</w:t>
            </w:r>
            <w:r w:rsidR="007F244F">
              <w:rPr>
                <w:rFonts w:ascii="Arial" w:hAnsi="Arial" w:cs="Arial"/>
                <w:sz w:val="22"/>
                <w:szCs w:val="22"/>
                <w:vertAlign w:val="superscript"/>
                <w14:ligatures w14:val="standardContextual"/>
              </w:rPr>
              <w:t>2</w:t>
            </w:r>
            <w:r w:rsidR="007F244F">
              <w:rPr>
                <w:rFonts w:ascii="Arial" w:hAnsi="Arial" w:cs="Arial"/>
                <w:sz w:val="22"/>
                <w:szCs w:val="22"/>
                <w14:ligatures w14:val="standardContextual"/>
              </w:rPr>
              <w:t>=</w:t>
            </w:r>
            <w:r w:rsidR="002338C4" w:rsidRPr="002338C4">
              <w:rPr>
                <w:rFonts w:ascii="Arial" w:hAnsi="Arial" w:cs="Arial"/>
                <w:sz w:val="22"/>
                <w:szCs w:val="22"/>
                <w14:ligatures w14:val="standardContextual"/>
              </w:rPr>
              <w:t>0.064</w:t>
            </w:r>
            <w:r w:rsidR="007F244F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, </w:t>
            </w:r>
            <w:r w:rsidR="002338C4" w:rsidRPr="002338C4">
              <w:rPr>
                <w:rFonts w:ascii="Arial" w:hAnsi="Arial" w:cs="Arial"/>
                <w:sz w:val="22"/>
                <w:szCs w:val="22"/>
                <w14:ligatures w14:val="standardContextual"/>
              </w:rPr>
              <w:t>P</w:t>
            </w:r>
            <w:r w:rsidR="001E66B3">
              <w:rPr>
                <w:rFonts w:ascii="Arial" w:hAnsi="Arial" w:cs="Arial"/>
                <w:sz w:val="22"/>
                <w:szCs w:val="22"/>
                <w14:ligatures w14:val="standardContextual"/>
              </w:rPr>
              <w:t>=</w:t>
            </w:r>
            <w:r w:rsidR="002338C4" w:rsidRPr="002338C4">
              <w:rPr>
                <w:rFonts w:ascii="Arial" w:hAnsi="Arial" w:cs="Arial"/>
                <w:sz w:val="22"/>
                <w:szCs w:val="22"/>
                <w14:ligatures w14:val="standardContextual"/>
              </w:rPr>
              <w:t>0.1203</w:t>
            </w:r>
            <w:r w:rsidR="001E66B3">
              <w:rPr>
                <w:rFonts w:ascii="Arial" w:hAnsi="Arial" w:cs="Arial"/>
                <w:sz w:val="22"/>
                <w:szCs w:val="22"/>
                <w14:ligatures w14:val="standardContextual"/>
              </w:rPr>
              <w:t>)</w:t>
            </w:r>
          </w:p>
          <w:tbl>
            <w:tblPr>
              <w:tblW w:w="65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7"/>
              <w:gridCol w:w="1984"/>
              <w:gridCol w:w="2127"/>
            </w:tblGrid>
            <w:tr w:rsidR="000C0859" w:rsidRPr="006B2DCF" w14:paraId="45322A5F" w14:textId="77777777" w:rsidTr="005B3BB1">
              <w:trPr>
                <w:trHeight w:val="296"/>
                <w:jc w:val="center"/>
              </w:trPr>
              <w:tc>
                <w:tcPr>
                  <w:tcW w:w="2427" w:type="dxa"/>
                  <w:shd w:val="clear" w:color="auto" w:fill="auto"/>
                  <w:noWrap/>
                  <w:vAlign w:val="bottom"/>
                  <w:hideMark/>
                </w:tcPr>
                <w:p w14:paraId="062A1436" w14:textId="77777777" w:rsidR="000C0859" w:rsidRPr="006B2DCF" w:rsidRDefault="000C0859" w:rsidP="000C0859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n-AU"/>
                    </w:rPr>
                  </w:pPr>
                </w:p>
              </w:tc>
              <w:tc>
                <w:tcPr>
                  <w:tcW w:w="1984" w:type="dxa"/>
                  <w:shd w:val="clear" w:color="auto" w:fill="auto"/>
                  <w:noWrap/>
                  <w:vAlign w:val="bottom"/>
                  <w:hideMark/>
                </w:tcPr>
                <w:p w14:paraId="175609DA" w14:textId="77777777" w:rsidR="000C0859" w:rsidRPr="006B2DCF" w:rsidRDefault="000C0859" w:rsidP="000C085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Test 1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5AC4A671" w14:textId="77777777" w:rsidR="000C0859" w:rsidRPr="006B2DCF" w:rsidRDefault="000C0859" w:rsidP="000C085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Test 2</w:t>
                  </w:r>
                </w:p>
              </w:tc>
            </w:tr>
            <w:tr w:rsidR="000C0859" w:rsidRPr="006B2DCF" w14:paraId="2F4976C7" w14:textId="77777777" w:rsidTr="005B3BB1">
              <w:trPr>
                <w:trHeight w:val="296"/>
                <w:jc w:val="center"/>
              </w:trPr>
              <w:tc>
                <w:tcPr>
                  <w:tcW w:w="2427" w:type="dxa"/>
                  <w:shd w:val="clear" w:color="auto" w:fill="auto"/>
                  <w:noWrap/>
                  <w:vAlign w:val="bottom"/>
                  <w:hideMark/>
                </w:tcPr>
                <w:p w14:paraId="309058E0" w14:textId="77777777" w:rsidR="000C0859" w:rsidRPr="006B2DCF" w:rsidRDefault="000C0859" w:rsidP="000C085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Subjects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vAlign w:val="bottom"/>
                  <w:hideMark/>
                </w:tcPr>
                <w:p w14:paraId="2CAE6577" w14:textId="77777777" w:rsidR="000C0859" w:rsidRPr="006B2DCF" w:rsidRDefault="000C0859" w:rsidP="000C0859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18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397742C6" w14:textId="77777777" w:rsidR="000C0859" w:rsidRPr="006B2DCF" w:rsidRDefault="000C0859" w:rsidP="000C0859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8</w:t>
                  </w:r>
                </w:p>
              </w:tc>
            </w:tr>
            <w:tr w:rsidR="000C0859" w:rsidRPr="006B2DCF" w14:paraId="0578ED41" w14:textId="77777777" w:rsidTr="005B3BB1">
              <w:trPr>
                <w:trHeight w:val="296"/>
                <w:jc w:val="center"/>
              </w:trPr>
              <w:tc>
                <w:tcPr>
                  <w:tcW w:w="2427" w:type="dxa"/>
                  <w:shd w:val="clear" w:color="auto" w:fill="auto"/>
                  <w:noWrap/>
                  <w:vAlign w:val="bottom"/>
                  <w:hideMark/>
                </w:tcPr>
                <w:p w14:paraId="305E89C2" w14:textId="77777777" w:rsidR="000C0859" w:rsidRPr="006B2DCF" w:rsidRDefault="000C0859" w:rsidP="000C0859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Mean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0C0859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nNO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(nL/min</w:t>
                  </w:r>
                  <w:r w:rsidRPr="0007413F">
                    <w:rPr>
                      <w:rFonts w:ascii="Arial" w:hAnsi="Arial" w:cs="Arial"/>
                      <w:color w:val="000000"/>
                      <w:sz w:val="22"/>
                      <w:szCs w:val="22"/>
                      <w:vertAlign w:val="superscript"/>
                    </w:rPr>
                    <w:t>-1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vAlign w:val="bottom"/>
                  <w:hideMark/>
                </w:tcPr>
                <w:p w14:paraId="35D7ACAC" w14:textId="1AFDF7E2" w:rsidR="000C0859" w:rsidRPr="006B2DCF" w:rsidRDefault="000C0859" w:rsidP="000C0859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514.6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±3</w:t>
                  </w:r>
                  <w:r w:rsidR="00B40C0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08.8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(SD)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E080A1E" w14:textId="77777777" w:rsidR="000C0859" w:rsidRPr="006B2DCF" w:rsidRDefault="000C0859" w:rsidP="000C0859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569.67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±379.8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(SD)</w:t>
                  </w:r>
                </w:p>
              </w:tc>
            </w:tr>
            <w:tr w:rsidR="000C0859" w:rsidRPr="006B2DCF" w14:paraId="0A039F95" w14:textId="77777777" w:rsidTr="005B3BB1">
              <w:trPr>
                <w:trHeight w:val="296"/>
                <w:jc w:val="center"/>
              </w:trPr>
              <w:tc>
                <w:tcPr>
                  <w:tcW w:w="2427" w:type="dxa"/>
                  <w:shd w:val="clear" w:color="auto" w:fill="auto"/>
                  <w:noWrap/>
                  <w:vAlign w:val="bottom"/>
                  <w:hideMark/>
                </w:tcPr>
                <w:p w14:paraId="0B328D9D" w14:textId="77777777" w:rsidR="000C0859" w:rsidRPr="006B2DCF" w:rsidRDefault="000C0859" w:rsidP="000C0859">
                  <w:pP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M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 xml:space="preserve">ean FEV1 </w:t>
                  </w:r>
                  <w:r w:rsidRPr="00707209"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(</w:t>
                  </w:r>
                  <w:r w:rsidRPr="00707209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L/sec)</w:t>
                  </w:r>
                </w:p>
              </w:tc>
              <w:tc>
                <w:tcPr>
                  <w:tcW w:w="1984" w:type="dxa"/>
                  <w:shd w:val="clear" w:color="auto" w:fill="auto"/>
                  <w:noWrap/>
                  <w:vAlign w:val="bottom"/>
                  <w:hideMark/>
                </w:tcPr>
                <w:p w14:paraId="2D6F7FF3" w14:textId="000031AB" w:rsidR="000C0859" w:rsidRPr="006B2DCF" w:rsidRDefault="000C0859" w:rsidP="000C0859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.9 ±</w:t>
                  </w:r>
                  <w:r w:rsidR="00B40C0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0.99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(SD)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127" w:type="dxa"/>
                  <w:shd w:val="clear" w:color="auto" w:fill="auto"/>
                  <w:noWrap/>
                  <w:vAlign w:val="bottom"/>
                  <w:hideMark/>
                </w:tcPr>
                <w:p w14:paraId="298C64CC" w14:textId="49FF29B0" w:rsidR="000C0859" w:rsidRPr="006B2DCF" w:rsidRDefault="000C0859" w:rsidP="000C0859">
                  <w:pPr>
                    <w:jc w:val="right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1.92 ±</w:t>
                  </w:r>
                  <w:r w:rsidR="00B40C01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1.09</w:t>
                  </w:r>
                  <w:r w:rsidRPr="006B2DCF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(SD)</w:t>
                  </w:r>
                </w:p>
              </w:tc>
            </w:tr>
          </w:tbl>
          <w:p w14:paraId="55F6F8E6" w14:textId="77777777" w:rsidR="000C0859" w:rsidRDefault="000C0859" w:rsidP="006B2DCF">
            <w:pPr>
              <w:pStyle w:val="Pa12"/>
              <w:jc w:val="both"/>
              <w:rPr>
                <w:rStyle w:val="A4"/>
                <w:b/>
                <w:bCs/>
              </w:rPr>
            </w:pPr>
          </w:p>
          <w:p w14:paraId="6C68AC95" w14:textId="480DD6D1" w:rsidR="006D4713" w:rsidRPr="006B2DCF" w:rsidRDefault="006D4713" w:rsidP="006B2DCF">
            <w:pPr>
              <w:pStyle w:val="Pa12"/>
              <w:jc w:val="both"/>
              <w:rPr>
                <w:rStyle w:val="A4"/>
                <w:b/>
                <w:bCs/>
              </w:rPr>
            </w:pPr>
            <w:r w:rsidRPr="006B2DCF">
              <w:rPr>
                <w:rStyle w:val="A4"/>
                <w:b/>
                <w:bCs/>
              </w:rPr>
              <w:t xml:space="preserve">Conclusion: </w:t>
            </w:r>
          </w:p>
          <w:p w14:paraId="233ABB35" w14:textId="76F98295" w:rsidR="0015500A" w:rsidRPr="00A837F6" w:rsidRDefault="00435640" w:rsidP="0015500A">
            <w:pPr>
              <w:pStyle w:val="Default"/>
              <w:jc w:val="both"/>
              <w:rPr>
                <w:color w:val="auto"/>
                <w:sz w:val="22"/>
                <w:szCs w:val="22"/>
                <w14:ligatures w14:val="standardContextual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A differentiation was </w:t>
            </w:r>
            <w:r w:rsidR="006572F2">
              <w:rPr>
                <w:sz w:val="22"/>
                <w:szCs w:val="22"/>
                <w14:ligatures w14:val="standardContextual"/>
              </w:rPr>
              <w:t>seen</w:t>
            </w:r>
            <w:r>
              <w:rPr>
                <w:sz w:val="22"/>
                <w:szCs w:val="22"/>
                <w14:ligatures w14:val="standardContextual"/>
              </w:rPr>
              <w:t xml:space="preserve"> between the control group and the BE and PCD </w:t>
            </w:r>
            <w:r w:rsidR="00F0091A">
              <w:rPr>
                <w:sz w:val="22"/>
                <w:szCs w:val="22"/>
                <w14:ligatures w14:val="standardContextual"/>
              </w:rPr>
              <w:t>subgroups.</w:t>
            </w:r>
            <w:r w:rsidR="00F0091A" w:rsidRPr="006B2DCF">
              <w:rPr>
                <w:sz w:val="22"/>
                <w:szCs w:val="22"/>
                <w14:ligatures w14:val="standardContextual"/>
              </w:rPr>
              <w:t xml:space="preserve"> Test</w:t>
            </w:r>
            <w:r w:rsidR="007D7CF1" w:rsidRPr="006B2DCF">
              <w:rPr>
                <w:sz w:val="22"/>
                <w:szCs w:val="22"/>
                <w14:ligatures w14:val="standardContextual"/>
              </w:rPr>
              <w:t xml:space="preserve"> re-test confidence</w:t>
            </w:r>
            <w:r w:rsidR="00F0091A">
              <w:rPr>
                <w:sz w:val="22"/>
                <w:szCs w:val="22"/>
                <w14:ligatures w14:val="standardContextual"/>
              </w:rPr>
              <w:t xml:space="preserve"> of repeated measures</w:t>
            </w:r>
            <w:r w:rsidR="007D7CF1" w:rsidRPr="006B2DCF">
              <w:rPr>
                <w:sz w:val="22"/>
                <w:szCs w:val="22"/>
                <w14:ligatures w14:val="standardContextual"/>
              </w:rPr>
              <w:t xml:space="preserve"> inferred that nNO </w:t>
            </w:r>
            <w:r w:rsidR="007D7CF1">
              <w:rPr>
                <w:sz w:val="22"/>
                <w:szCs w:val="22"/>
                <w14:ligatures w14:val="standardContextual"/>
              </w:rPr>
              <w:t xml:space="preserve">was reproducible </w:t>
            </w:r>
            <w:r w:rsidR="000855AD" w:rsidRPr="00A837F6">
              <w:rPr>
                <w:color w:val="auto"/>
                <w:sz w:val="22"/>
                <w:szCs w:val="22"/>
                <w14:ligatures w14:val="standardContextual"/>
              </w:rPr>
              <w:t xml:space="preserve">however </w:t>
            </w:r>
            <w:r w:rsidR="001F6603">
              <w:rPr>
                <w:color w:val="auto"/>
                <w:sz w:val="22"/>
                <w:szCs w:val="22"/>
                <w14:ligatures w14:val="standardContextual"/>
              </w:rPr>
              <w:t xml:space="preserve">no </w:t>
            </w:r>
            <w:r w:rsidR="007D7CF1" w:rsidRPr="00A837F6">
              <w:rPr>
                <w:color w:val="auto"/>
                <w:sz w:val="22"/>
                <w:szCs w:val="22"/>
                <w14:ligatures w14:val="standardContextual"/>
              </w:rPr>
              <w:t>correlation with FEV1</w:t>
            </w:r>
            <w:r w:rsidR="00F0091A">
              <w:rPr>
                <w:color w:val="auto"/>
                <w:sz w:val="22"/>
                <w:szCs w:val="22"/>
                <w14:ligatures w14:val="standardContextual"/>
              </w:rPr>
              <w:t xml:space="preserve"> was seen</w:t>
            </w:r>
            <w:r w:rsidR="007D7CF1" w:rsidRPr="00A837F6">
              <w:rPr>
                <w:color w:val="auto"/>
                <w:sz w:val="22"/>
                <w:szCs w:val="22"/>
                <w14:ligatures w14:val="standardContextual"/>
              </w:rPr>
              <w:t xml:space="preserve">. </w:t>
            </w:r>
            <w:r w:rsidR="0015500A" w:rsidRPr="00A837F6">
              <w:rPr>
                <w:color w:val="auto"/>
                <w:sz w:val="22"/>
                <w:szCs w:val="22"/>
                <w14:ligatures w14:val="standardContextual"/>
              </w:rPr>
              <w:t xml:space="preserve">More data is required to comment on </w:t>
            </w:r>
            <w:r>
              <w:rPr>
                <w:color w:val="auto"/>
                <w:sz w:val="22"/>
                <w:szCs w:val="22"/>
                <w14:ligatures w14:val="standardContextual"/>
              </w:rPr>
              <w:t xml:space="preserve">the utility of </w:t>
            </w:r>
            <w:r w:rsidR="00C418E3">
              <w:rPr>
                <w:color w:val="auto"/>
                <w:sz w:val="22"/>
                <w:szCs w:val="22"/>
                <w14:ligatures w14:val="standardContextual"/>
              </w:rPr>
              <w:t xml:space="preserve">routine </w:t>
            </w:r>
            <w:r w:rsidR="0015500A" w:rsidRPr="00A837F6">
              <w:rPr>
                <w:color w:val="auto"/>
                <w:sz w:val="22"/>
                <w:szCs w:val="22"/>
                <w14:ligatures w14:val="standardContextual"/>
              </w:rPr>
              <w:t xml:space="preserve">nNO </w:t>
            </w:r>
            <w:r w:rsidR="00C418E3">
              <w:rPr>
                <w:color w:val="auto"/>
                <w:sz w:val="22"/>
                <w:szCs w:val="22"/>
                <w14:ligatures w14:val="standardContextual"/>
              </w:rPr>
              <w:t xml:space="preserve">measurements </w:t>
            </w:r>
            <w:r w:rsidR="0015500A" w:rsidRPr="00A837F6">
              <w:rPr>
                <w:color w:val="auto"/>
                <w:sz w:val="22"/>
                <w:szCs w:val="22"/>
                <w14:ligatures w14:val="standardContextual"/>
              </w:rPr>
              <w:t xml:space="preserve">and </w:t>
            </w:r>
            <w:r w:rsidR="001F6603">
              <w:rPr>
                <w:color w:val="auto"/>
                <w:sz w:val="22"/>
                <w:szCs w:val="22"/>
                <w14:ligatures w14:val="standardContextual"/>
              </w:rPr>
              <w:t xml:space="preserve">its value to </w:t>
            </w:r>
            <w:r w:rsidR="00F0091A">
              <w:rPr>
                <w:color w:val="auto"/>
                <w:sz w:val="22"/>
                <w:szCs w:val="22"/>
                <w14:ligatures w14:val="standardContextual"/>
              </w:rPr>
              <w:t>clinical</w:t>
            </w:r>
            <w:r w:rsidR="001F6603">
              <w:rPr>
                <w:color w:val="auto"/>
                <w:sz w:val="22"/>
                <w:szCs w:val="22"/>
                <w14:ligatures w14:val="standardContextual"/>
              </w:rPr>
              <w:t xml:space="preserve"> assessment</w:t>
            </w:r>
            <w:r w:rsidR="00C418E3">
              <w:rPr>
                <w:color w:val="auto"/>
                <w:sz w:val="22"/>
                <w:szCs w:val="22"/>
                <w14:ligatures w14:val="standardContextual"/>
              </w:rPr>
              <w:t>s</w:t>
            </w:r>
            <w:r w:rsidR="001F6603">
              <w:rPr>
                <w:color w:val="auto"/>
                <w:sz w:val="22"/>
                <w:szCs w:val="22"/>
                <w14:ligatures w14:val="standardContextual"/>
              </w:rPr>
              <w:t>.</w:t>
            </w:r>
          </w:p>
          <w:p w14:paraId="110FB90C" w14:textId="77777777" w:rsidR="0015500A" w:rsidRDefault="0015500A" w:rsidP="007D7CF1">
            <w:pPr>
              <w:pStyle w:val="Default"/>
              <w:jc w:val="both"/>
              <w:rPr>
                <w:sz w:val="22"/>
                <w:szCs w:val="22"/>
                <w14:ligatures w14:val="standardContextual"/>
              </w:rPr>
            </w:pPr>
          </w:p>
          <w:p w14:paraId="6C68AC99" w14:textId="3954FCA2" w:rsidR="006D4713" w:rsidRPr="006B2DCF" w:rsidRDefault="006D4713" w:rsidP="009C1987">
            <w:pPr>
              <w:pStyle w:val="Pa12"/>
              <w:rPr>
                <w:rStyle w:val="A4"/>
              </w:rPr>
            </w:pPr>
            <w:r w:rsidRPr="006B2DCF">
              <w:rPr>
                <w:rStyle w:val="A4"/>
                <w:b/>
                <w:bCs/>
              </w:rPr>
              <w:t>Key Words</w:t>
            </w:r>
            <w:r w:rsidRPr="006B2DCF">
              <w:rPr>
                <w:rStyle w:val="A4"/>
                <w:b/>
              </w:rPr>
              <w:t>:</w:t>
            </w:r>
            <w:r w:rsidRPr="006B2DCF">
              <w:rPr>
                <w:rStyle w:val="A4"/>
              </w:rPr>
              <w:t xml:space="preserve"> </w:t>
            </w:r>
            <w:r w:rsidR="00D62717" w:rsidRPr="006B2DCF">
              <w:rPr>
                <w:sz w:val="22"/>
                <w:szCs w:val="22"/>
              </w:rPr>
              <w:t>Nasal Nitric Oxide</w:t>
            </w:r>
          </w:p>
          <w:p w14:paraId="6C68AC9D" w14:textId="0C41F64A" w:rsidR="006D4713" w:rsidRPr="006B2DCF" w:rsidRDefault="006D4713" w:rsidP="009C1987">
            <w:pPr>
              <w:pStyle w:val="Pa12"/>
              <w:rPr>
                <w:b/>
                <w:bCs/>
                <w:color w:val="000000"/>
                <w:sz w:val="22"/>
                <w:szCs w:val="22"/>
              </w:rPr>
            </w:pPr>
            <w:r w:rsidRPr="006B2DCF">
              <w:rPr>
                <w:rStyle w:val="A4"/>
                <w:b/>
                <w:bCs/>
              </w:rPr>
              <w:t xml:space="preserve">Grant Support: </w:t>
            </w:r>
            <w:r w:rsidR="00FB7657" w:rsidRPr="006B2DCF">
              <w:rPr>
                <w:rStyle w:val="A4"/>
                <w:b/>
                <w:bCs/>
              </w:rPr>
              <w:t>N/</w:t>
            </w:r>
            <w:r w:rsidR="00D62717" w:rsidRPr="006B2DCF">
              <w:rPr>
                <w:rStyle w:val="A4"/>
                <w:b/>
                <w:bCs/>
              </w:rPr>
              <w:t>A</w:t>
            </w:r>
            <w:r w:rsidRPr="006B2DCF">
              <w:rPr>
                <w:sz w:val="22"/>
                <w:szCs w:val="22"/>
              </w:rPr>
              <w:br/>
            </w:r>
          </w:p>
          <w:p w14:paraId="6C68AC9E" w14:textId="77777777" w:rsidR="006D4713" w:rsidRPr="006B2DCF" w:rsidRDefault="006D4713" w:rsidP="009C1987">
            <w:pPr>
              <w:pStyle w:val="Default"/>
              <w:rPr>
                <w:sz w:val="22"/>
                <w:szCs w:val="22"/>
              </w:rPr>
            </w:pPr>
          </w:p>
          <w:p w14:paraId="6C68AC9F" w14:textId="77777777" w:rsidR="006D4713" w:rsidRPr="006B2DCF" w:rsidRDefault="006D4713" w:rsidP="009C1987">
            <w:pPr>
              <w:pStyle w:val="Default"/>
              <w:rPr>
                <w:sz w:val="22"/>
                <w:szCs w:val="22"/>
              </w:rPr>
            </w:pPr>
          </w:p>
          <w:p w14:paraId="6C68ACA0" w14:textId="77777777" w:rsidR="006D4713" w:rsidRPr="006B2DCF" w:rsidRDefault="006D4713" w:rsidP="009C1987">
            <w:pPr>
              <w:pStyle w:val="Pa12"/>
              <w:rPr>
                <w:rStyle w:val="A4"/>
                <w:bCs/>
              </w:rPr>
            </w:pP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  <w:r w:rsidRPr="006B2DCF">
              <w:rPr>
                <w:rStyle w:val="A4"/>
                <w:bCs/>
              </w:rPr>
              <w:br/>
            </w:r>
          </w:p>
          <w:p w14:paraId="6C68ACA1" w14:textId="77777777" w:rsidR="006D4713" w:rsidRPr="006B2DCF" w:rsidRDefault="006D4713" w:rsidP="009C1987">
            <w:pPr>
              <w:pStyle w:val="Default"/>
              <w:rPr>
                <w:rStyle w:val="A4"/>
                <w:bCs/>
              </w:rPr>
            </w:pPr>
          </w:p>
          <w:p w14:paraId="6C68ACA2" w14:textId="77777777" w:rsidR="006D4713" w:rsidRPr="006B2DCF" w:rsidRDefault="006D4713" w:rsidP="009C1987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  <w:r w:rsidRPr="006B2DCF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4F5A4AC4" w14:textId="76A9A21F" w:rsidR="00E20866" w:rsidRPr="006B2DCF" w:rsidRDefault="00E20866" w:rsidP="00CB14A0">
      <w:pPr>
        <w:pStyle w:val="Pa12"/>
        <w:jc w:val="both"/>
        <w:rPr>
          <w:sz w:val="22"/>
          <w:szCs w:val="22"/>
        </w:rPr>
      </w:pPr>
    </w:p>
    <w:sectPr w:rsidR="00E20866" w:rsidRPr="006B2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713"/>
    <w:rsid w:val="00006BFE"/>
    <w:rsid w:val="0001293C"/>
    <w:rsid w:val="00046C8C"/>
    <w:rsid w:val="0007413F"/>
    <w:rsid w:val="00075618"/>
    <w:rsid w:val="000855AD"/>
    <w:rsid w:val="00097669"/>
    <w:rsid w:val="000A13CD"/>
    <w:rsid w:val="000C0859"/>
    <w:rsid w:val="000E23DC"/>
    <w:rsid w:val="000E2DD7"/>
    <w:rsid w:val="000F5A0A"/>
    <w:rsid w:val="0010161B"/>
    <w:rsid w:val="0011300D"/>
    <w:rsid w:val="001204FB"/>
    <w:rsid w:val="00125024"/>
    <w:rsid w:val="001333F5"/>
    <w:rsid w:val="00142334"/>
    <w:rsid w:val="0015500A"/>
    <w:rsid w:val="001711E1"/>
    <w:rsid w:val="0017488A"/>
    <w:rsid w:val="00191251"/>
    <w:rsid w:val="001D6615"/>
    <w:rsid w:val="001D6F18"/>
    <w:rsid w:val="001D73E0"/>
    <w:rsid w:val="001E66B3"/>
    <w:rsid w:val="001E736C"/>
    <w:rsid w:val="001F0670"/>
    <w:rsid w:val="001F4DDB"/>
    <w:rsid w:val="001F6603"/>
    <w:rsid w:val="00223675"/>
    <w:rsid w:val="002338C4"/>
    <w:rsid w:val="002479C4"/>
    <w:rsid w:val="0025587E"/>
    <w:rsid w:val="002632BF"/>
    <w:rsid w:val="002A0F6A"/>
    <w:rsid w:val="002A296D"/>
    <w:rsid w:val="002B277F"/>
    <w:rsid w:val="002B4988"/>
    <w:rsid w:val="00306F78"/>
    <w:rsid w:val="003118D6"/>
    <w:rsid w:val="00323005"/>
    <w:rsid w:val="00361F7E"/>
    <w:rsid w:val="003E78D5"/>
    <w:rsid w:val="003F0690"/>
    <w:rsid w:val="00401E04"/>
    <w:rsid w:val="00435640"/>
    <w:rsid w:val="0044392F"/>
    <w:rsid w:val="0047057E"/>
    <w:rsid w:val="00487EC0"/>
    <w:rsid w:val="004A67FC"/>
    <w:rsid w:val="004C297F"/>
    <w:rsid w:val="004D0E4E"/>
    <w:rsid w:val="004E0156"/>
    <w:rsid w:val="005214EF"/>
    <w:rsid w:val="00524B2A"/>
    <w:rsid w:val="00551A28"/>
    <w:rsid w:val="005854D6"/>
    <w:rsid w:val="0059710F"/>
    <w:rsid w:val="005B3C80"/>
    <w:rsid w:val="005C72E2"/>
    <w:rsid w:val="005F7941"/>
    <w:rsid w:val="00635C63"/>
    <w:rsid w:val="00640AEF"/>
    <w:rsid w:val="006438E9"/>
    <w:rsid w:val="006572F2"/>
    <w:rsid w:val="00667FDD"/>
    <w:rsid w:val="00672178"/>
    <w:rsid w:val="006A5D61"/>
    <w:rsid w:val="006B2DCF"/>
    <w:rsid w:val="006D4713"/>
    <w:rsid w:val="006D79BB"/>
    <w:rsid w:val="007061AA"/>
    <w:rsid w:val="00707209"/>
    <w:rsid w:val="007205E6"/>
    <w:rsid w:val="00733DF3"/>
    <w:rsid w:val="00752808"/>
    <w:rsid w:val="00786E77"/>
    <w:rsid w:val="007C6E42"/>
    <w:rsid w:val="007D7CF1"/>
    <w:rsid w:val="007F244F"/>
    <w:rsid w:val="007F7C34"/>
    <w:rsid w:val="008101E3"/>
    <w:rsid w:val="00813B40"/>
    <w:rsid w:val="0081498C"/>
    <w:rsid w:val="00820865"/>
    <w:rsid w:val="00821855"/>
    <w:rsid w:val="0084465C"/>
    <w:rsid w:val="00851289"/>
    <w:rsid w:val="00855060"/>
    <w:rsid w:val="00883D73"/>
    <w:rsid w:val="008B0E5A"/>
    <w:rsid w:val="008B6B6D"/>
    <w:rsid w:val="008C5E40"/>
    <w:rsid w:val="008F2863"/>
    <w:rsid w:val="0090380D"/>
    <w:rsid w:val="0094622B"/>
    <w:rsid w:val="00960633"/>
    <w:rsid w:val="009656B9"/>
    <w:rsid w:val="00975FCE"/>
    <w:rsid w:val="009D7785"/>
    <w:rsid w:val="009F15AF"/>
    <w:rsid w:val="009F5D5C"/>
    <w:rsid w:val="00A0054B"/>
    <w:rsid w:val="00A0332E"/>
    <w:rsid w:val="00A1038A"/>
    <w:rsid w:val="00A41157"/>
    <w:rsid w:val="00A4704D"/>
    <w:rsid w:val="00A54893"/>
    <w:rsid w:val="00A6600E"/>
    <w:rsid w:val="00A70D47"/>
    <w:rsid w:val="00A7129C"/>
    <w:rsid w:val="00A825D1"/>
    <w:rsid w:val="00A837F6"/>
    <w:rsid w:val="00A86656"/>
    <w:rsid w:val="00A97B57"/>
    <w:rsid w:val="00AD612F"/>
    <w:rsid w:val="00B40C01"/>
    <w:rsid w:val="00B6142D"/>
    <w:rsid w:val="00B6185C"/>
    <w:rsid w:val="00B77791"/>
    <w:rsid w:val="00BA3120"/>
    <w:rsid w:val="00BB6235"/>
    <w:rsid w:val="00BD299A"/>
    <w:rsid w:val="00C418E3"/>
    <w:rsid w:val="00C52F61"/>
    <w:rsid w:val="00C91C8C"/>
    <w:rsid w:val="00CB14A0"/>
    <w:rsid w:val="00CE4DD8"/>
    <w:rsid w:val="00D02B65"/>
    <w:rsid w:val="00D30F66"/>
    <w:rsid w:val="00D4667A"/>
    <w:rsid w:val="00D559EE"/>
    <w:rsid w:val="00D56BB3"/>
    <w:rsid w:val="00D62717"/>
    <w:rsid w:val="00D8009C"/>
    <w:rsid w:val="00D86C17"/>
    <w:rsid w:val="00D93DAA"/>
    <w:rsid w:val="00DA31F9"/>
    <w:rsid w:val="00DA724E"/>
    <w:rsid w:val="00DC1BF3"/>
    <w:rsid w:val="00E20866"/>
    <w:rsid w:val="00E46A51"/>
    <w:rsid w:val="00E55238"/>
    <w:rsid w:val="00E70A48"/>
    <w:rsid w:val="00E7758B"/>
    <w:rsid w:val="00E971C4"/>
    <w:rsid w:val="00EA71D9"/>
    <w:rsid w:val="00EB624C"/>
    <w:rsid w:val="00EC5A07"/>
    <w:rsid w:val="00EC7704"/>
    <w:rsid w:val="00EE3EA8"/>
    <w:rsid w:val="00EF78E1"/>
    <w:rsid w:val="00F0091A"/>
    <w:rsid w:val="00F04850"/>
    <w:rsid w:val="00F114F2"/>
    <w:rsid w:val="00F22A84"/>
    <w:rsid w:val="00F24CD6"/>
    <w:rsid w:val="00F31DFB"/>
    <w:rsid w:val="00F47C8C"/>
    <w:rsid w:val="00F60A67"/>
    <w:rsid w:val="00FB0372"/>
    <w:rsid w:val="00FB7657"/>
    <w:rsid w:val="00FD2897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8AC7F"/>
  <w15:docId w15:val="{88FE7ED1-9FFF-479E-AC81-1F38E9E85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4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6D4713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6D4713"/>
    <w:pPr>
      <w:spacing w:line="241" w:lineRule="atLeas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CE4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F824C-5088-42B0-A666-662E8AB08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BD194-A1E0-4107-8F2F-F5DDCC7D135A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2006/metadata/properties"/>
    <ds:schemaRef ds:uri="http://purl.org/dc/elements/1.1/"/>
    <ds:schemaRef ds:uri="cab52c9b-ab33-4221-8af9-54f8f2b86a8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810A034-3CE3-4046-9BD9-8F5BBDBD32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onsite6</dc:creator>
  <cp:lastModifiedBy>Grace Madden</cp:lastModifiedBy>
  <cp:revision>2</cp:revision>
  <dcterms:created xsi:type="dcterms:W3CDTF">2023-10-19T04:55:00Z</dcterms:created>
  <dcterms:modified xsi:type="dcterms:W3CDTF">2023-10-19T04:55:00Z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