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14E61772" w:rsidR="001564A4" w:rsidRPr="00090277" w:rsidRDefault="00036FDA" w:rsidP="00090277">
            <w:pPr>
              <w:rPr>
                <w:rFonts w:ascii="Arial" w:hAnsi="Arial" w:cs="Arial"/>
                <w:b/>
                <w:bCs/>
                <w:sz w:val="22"/>
                <w:szCs w:val="22"/>
              </w:rPr>
            </w:pPr>
            <w:r w:rsidRPr="00090277">
              <w:rPr>
                <w:rFonts w:ascii="Arial" w:hAnsi="Arial" w:cs="Arial"/>
                <w:b/>
                <w:bCs/>
                <w:sz w:val="22"/>
                <w:szCs w:val="22"/>
              </w:rPr>
              <w:t xml:space="preserve">Remotely sensed canopy and litterfall trends of longleaf pine plantations in </w:t>
            </w:r>
            <w:proofErr w:type="gramStart"/>
            <w:r w:rsidRPr="00090277">
              <w:rPr>
                <w:rFonts w:ascii="Arial" w:hAnsi="Arial" w:cs="Arial"/>
                <w:b/>
                <w:bCs/>
                <w:sz w:val="22"/>
                <w:szCs w:val="22"/>
              </w:rPr>
              <w:t>south Georgia</w:t>
            </w:r>
            <w:proofErr w:type="gramEnd"/>
            <w:r w:rsidRPr="00090277">
              <w:rPr>
                <w:rFonts w:ascii="Arial" w:hAnsi="Arial" w:cs="Arial"/>
                <w:b/>
                <w:bCs/>
                <w:sz w:val="22"/>
                <w:szCs w:val="22"/>
              </w:rPr>
              <w:t>, USA</w:t>
            </w:r>
          </w:p>
        </w:tc>
      </w:tr>
      <w:tr w:rsidR="001564A4" w:rsidRPr="0050053A" w14:paraId="6DAF615A" w14:textId="77777777" w:rsidTr="00036FDA">
        <w:trPr>
          <w:trHeight w:hRule="exact" w:val="12952"/>
          <w:jc w:val="center"/>
        </w:trPr>
        <w:tc>
          <w:tcPr>
            <w:tcW w:w="8640" w:type="dxa"/>
            <w:shd w:val="clear" w:color="auto" w:fill="auto"/>
          </w:tcPr>
          <w:p w14:paraId="639C0005" w14:textId="77777777" w:rsidR="001F0AC4" w:rsidRPr="00036FDA" w:rsidRDefault="001F0AC4" w:rsidP="00090277">
            <w:pPr>
              <w:pStyle w:val="Pa12"/>
              <w:spacing w:line="240" w:lineRule="auto"/>
              <w:rPr>
                <w:rStyle w:val="A4"/>
                <w:b/>
                <w:bCs/>
              </w:rPr>
            </w:pPr>
          </w:p>
          <w:p w14:paraId="739E7937" w14:textId="669B01AC" w:rsidR="001564A4" w:rsidRPr="00036FDA" w:rsidRDefault="001564A4" w:rsidP="00090277">
            <w:pPr>
              <w:pStyle w:val="Pa12"/>
              <w:spacing w:line="240" w:lineRule="auto"/>
              <w:rPr>
                <w:rStyle w:val="A4"/>
                <w:b/>
                <w:bCs/>
              </w:rPr>
            </w:pPr>
            <w:r w:rsidRPr="00036FDA">
              <w:rPr>
                <w:rStyle w:val="A4"/>
                <w:b/>
                <w:bCs/>
              </w:rPr>
              <w:t xml:space="preserve">Introduction/Aim: </w:t>
            </w:r>
          </w:p>
          <w:p w14:paraId="2251F6D5" w14:textId="637CEB38" w:rsidR="001564A4" w:rsidRPr="00036FDA" w:rsidRDefault="00036FDA" w:rsidP="00090277">
            <w:pPr>
              <w:rPr>
                <w:rFonts w:ascii="Arial" w:hAnsi="Arial" w:cs="Arial"/>
                <w:sz w:val="22"/>
                <w:szCs w:val="22"/>
              </w:rPr>
            </w:pPr>
            <w:r w:rsidRPr="00036FDA">
              <w:rPr>
                <w:rFonts w:ascii="Arial" w:hAnsi="Arial" w:cs="Arial"/>
                <w:sz w:val="22"/>
                <w:szCs w:val="22"/>
              </w:rPr>
              <w:t>In the southern USA, longleaf pine plantations are valued for a regionally specific non-timber commodity, ‘pine straw’, where recently fallen needles (i.e., annual litterfall) are raked and sold as landscaping mulch. For instance, in 2022 Georgia-produced pine straw was valued at USD $127 million. Due to its value, there is novelty to leverage satellite imagery to understand longleaf pine canopy dynamics to describe how site fertility affects canopy production and to predict future pine straw yields. Here we present a framework to use Landsat 8 and 9 derived vegetation indices to predict longleaf pine plantation litterfall.</w:t>
            </w:r>
          </w:p>
          <w:p w14:paraId="7C574347" w14:textId="77777777" w:rsidR="00036FDA" w:rsidRPr="00036FDA" w:rsidRDefault="00036FDA" w:rsidP="00090277">
            <w:pPr>
              <w:rPr>
                <w:rFonts w:ascii="Arial" w:hAnsi="Arial" w:cs="Arial"/>
                <w:sz w:val="22"/>
                <w:szCs w:val="22"/>
              </w:rPr>
            </w:pPr>
          </w:p>
          <w:p w14:paraId="2BA09E2F" w14:textId="35C0B4CA" w:rsidR="00036FDA" w:rsidRPr="00036FDA" w:rsidRDefault="00036FDA" w:rsidP="00090277">
            <w:pPr>
              <w:rPr>
                <w:rStyle w:val="A4"/>
                <w:rFonts w:ascii="Arial" w:hAnsi="Arial" w:cs="Arial"/>
                <w:b/>
                <w:bCs/>
              </w:rPr>
            </w:pPr>
            <w:r>
              <w:rPr>
                <w:rStyle w:val="A4"/>
                <w:rFonts w:ascii="Arial" w:hAnsi="Arial" w:cs="Arial"/>
                <w:b/>
                <w:bCs/>
              </w:rPr>
              <w:t>Study background</w:t>
            </w:r>
            <w:r w:rsidR="001564A4" w:rsidRPr="00036FDA">
              <w:rPr>
                <w:rStyle w:val="A4"/>
                <w:rFonts w:ascii="Arial" w:hAnsi="Arial" w:cs="Arial"/>
                <w:b/>
                <w:bCs/>
              </w:rPr>
              <w:t xml:space="preserve">: </w:t>
            </w:r>
          </w:p>
          <w:p w14:paraId="5029BAE6" w14:textId="68CB8A13" w:rsidR="001564A4" w:rsidRPr="00036FDA" w:rsidRDefault="00036FDA" w:rsidP="00090277">
            <w:pPr>
              <w:rPr>
                <w:rFonts w:ascii="Arial" w:hAnsi="Arial" w:cs="Arial"/>
                <w:sz w:val="22"/>
                <w:szCs w:val="22"/>
              </w:rPr>
            </w:pPr>
            <w:r w:rsidRPr="00036FDA">
              <w:rPr>
                <w:rFonts w:ascii="Arial" w:hAnsi="Arial" w:cs="Arial"/>
                <w:sz w:val="22"/>
                <w:szCs w:val="22"/>
              </w:rPr>
              <w:t xml:space="preserve">Our study involved 84, 0.04 ha plots on two eleven-year-old high fertility sites and two eleven-year-old low fertility sites in </w:t>
            </w:r>
            <w:proofErr w:type="gramStart"/>
            <w:r w:rsidRPr="00036FDA">
              <w:rPr>
                <w:rFonts w:ascii="Arial" w:hAnsi="Arial" w:cs="Arial"/>
                <w:sz w:val="22"/>
                <w:szCs w:val="22"/>
              </w:rPr>
              <w:t>south Georgia</w:t>
            </w:r>
            <w:proofErr w:type="gramEnd"/>
            <w:r w:rsidRPr="00036FDA">
              <w:rPr>
                <w:rFonts w:ascii="Arial" w:hAnsi="Arial" w:cs="Arial"/>
                <w:sz w:val="22"/>
                <w:szCs w:val="22"/>
              </w:rPr>
              <w:t>. The high fertility sites had greater standing tree volume (20.63 m</w:t>
            </w:r>
            <w:r w:rsidRPr="00036FDA">
              <w:rPr>
                <w:rFonts w:ascii="Arial" w:hAnsi="Arial" w:cs="Arial"/>
                <w:sz w:val="22"/>
                <w:szCs w:val="22"/>
                <w:vertAlign w:val="superscript"/>
              </w:rPr>
              <w:t xml:space="preserve">-3 </w:t>
            </w:r>
            <w:r w:rsidRPr="00036FDA">
              <w:rPr>
                <w:rFonts w:ascii="Arial" w:hAnsi="Arial" w:cs="Arial"/>
                <w:sz w:val="22"/>
                <w:szCs w:val="22"/>
              </w:rPr>
              <w:t>ha</w:t>
            </w:r>
            <w:r w:rsidRPr="00036FDA">
              <w:rPr>
                <w:rFonts w:ascii="Arial" w:hAnsi="Arial" w:cs="Arial"/>
                <w:sz w:val="22"/>
                <w:szCs w:val="22"/>
                <w:vertAlign w:val="superscript"/>
              </w:rPr>
              <w:t>-1</w:t>
            </w:r>
            <w:r w:rsidRPr="00036FDA">
              <w:rPr>
                <w:rFonts w:ascii="Arial" w:hAnsi="Arial" w:cs="Arial"/>
                <w:sz w:val="22"/>
                <w:szCs w:val="22"/>
              </w:rPr>
              <w:t>) and were at canopy closure, where the low fertility sites had lower standing volume (9.18 m</w:t>
            </w:r>
            <w:r w:rsidRPr="00036FDA">
              <w:rPr>
                <w:rFonts w:ascii="Arial" w:hAnsi="Arial" w:cs="Arial"/>
                <w:sz w:val="22"/>
                <w:szCs w:val="22"/>
                <w:vertAlign w:val="superscript"/>
              </w:rPr>
              <w:t>-3</w:t>
            </w:r>
            <w:r w:rsidRPr="00036FDA">
              <w:rPr>
                <w:rFonts w:ascii="Arial" w:hAnsi="Arial" w:cs="Arial"/>
                <w:sz w:val="22"/>
                <w:szCs w:val="22"/>
              </w:rPr>
              <w:t xml:space="preserve"> ha</w:t>
            </w:r>
            <w:r w:rsidRPr="00036FDA">
              <w:rPr>
                <w:rFonts w:ascii="Arial" w:hAnsi="Arial" w:cs="Arial"/>
                <w:sz w:val="22"/>
                <w:szCs w:val="22"/>
                <w:vertAlign w:val="superscript"/>
              </w:rPr>
              <w:t>-1</w:t>
            </w:r>
            <w:r w:rsidRPr="00036FDA">
              <w:rPr>
                <w:rFonts w:ascii="Arial" w:hAnsi="Arial" w:cs="Arial"/>
                <w:sz w:val="22"/>
                <w:szCs w:val="22"/>
              </w:rPr>
              <w:t>) and were further away from canopy closure.</w:t>
            </w:r>
          </w:p>
          <w:p w14:paraId="7FCA90CF" w14:textId="77777777" w:rsidR="00036FDA" w:rsidRPr="00036FDA" w:rsidRDefault="00036FDA" w:rsidP="00090277">
            <w:pPr>
              <w:rPr>
                <w:rStyle w:val="A4"/>
                <w:rFonts w:ascii="Arial" w:hAnsi="Arial" w:cs="Arial"/>
                <w:color w:val="auto"/>
              </w:rPr>
            </w:pPr>
          </w:p>
          <w:p w14:paraId="6BF3F094" w14:textId="77777777" w:rsidR="001564A4" w:rsidRPr="00036FDA" w:rsidRDefault="001564A4" w:rsidP="00090277">
            <w:pPr>
              <w:pStyle w:val="Pa12"/>
              <w:spacing w:line="240" w:lineRule="auto"/>
              <w:rPr>
                <w:rStyle w:val="A4"/>
                <w:b/>
                <w:bCs/>
              </w:rPr>
            </w:pPr>
            <w:r w:rsidRPr="00036FDA">
              <w:rPr>
                <w:rStyle w:val="A4"/>
                <w:b/>
                <w:bCs/>
              </w:rPr>
              <w:t xml:space="preserve">Results: </w:t>
            </w:r>
          </w:p>
          <w:p w14:paraId="2435B34C" w14:textId="77777777" w:rsidR="00036FDA" w:rsidRPr="00036FDA" w:rsidRDefault="00036FDA" w:rsidP="00090277">
            <w:pPr>
              <w:rPr>
                <w:rFonts w:ascii="Arial" w:hAnsi="Arial" w:cs="Arial"/>
                <w:sz w:val="22"/>
                <w:szCs w:val="22"/>
              </w:rPr>
            </w:pPr>
            <w:r w:rsidRPr="00036FDA">
              <w:rPr>
                <w:rFonts w:ascii="Arial" w:hAnsi="Arial" w:cs="Arial"/>
                <w:sz w:val="22"/>
                <w:szCs w:val="22"/>
              </w:rPr>
              <w:t>Using generalized additive models (GAMs) we determined that predictors like day-of-year (DOY), date, and fertility (high vs. low) explained the most variation in normalized difference moisture index (NDMI, R</w:t>
            </w:r>
            <w:r w:rsidRPr="00036FDA">
              <w:rPr>
                <w:rFonts w:ascii="Arial" w:hAnsi="Arial" w:cs="Arial"/>
                <w:sz w:val="22"/>
                <w:szCs w:val="22"/>
                <w:vertAlign w:val="superscript"/>
              </w:rPr>
              <w:t xml:space="preserve">2 </w:t>
            </w:r>
            <w:r w:rsidRPr="00036FDA">
              <w:rPr>
                <w:rFonts w:ascii="Arial" w:hAnsi="Arial" w:cs="Arial"/>
                <w:sz w:val="22"/>
                <w:szCs w:val="22"/>
              </w:rPr>
              <w:t>= 0.58) and best represented the biological patterns of litterfall when compared to other popular indices like enhanced vegetation index-2 (EVI-2, R</w:t>
            </w:r>
            <w:r w:rsidRPr="00036FDA">
              <w:rPr>
                <w:rFonts w:ascii="Arial" w:hAnsi="Arial" w:cs="Arial"/>
                <w:sz w:val="22"/>
                <w:szCs w:val="22"/>
                <w:vertAlign w:val="superscript"/>
              </w:rPr>
              <w:t>2</w:t>
            </w:r>
            <w:r w:rsidRPr="00036FDA">
              <w:rPr>
                <w:rFonts w:ascii="Arial" w:hAnsi="Arial" w:cs="Arial"/>
                <w:sz w:val="22"/>
                <w:szCs w:val="22"/>
              </w:rPr>
              <w:t xml:space="preserve"> = 0.19) or the newer near-infrared reflectance of vegetation (</w:t>
            </w:r>
            <w:proofErr w:type="spellStart"/>
            <w:r w:rsidRPr="00036FDA">
              <w:rPr>
                <w:rFonts w:ascii="Arial" w:hAnsi="Arial" w:cs="Arial"/>
                <w:sz w:val="22"/>
                <w:szCs w:val="22"/>
              </w:rPr>
              <w:t>NIR</w:t>
            </w:r>
            <w:r w:rsidRPr="00036FDA">
              <w:rPr>
                <w:rFonts w:ascii="Arial" w:hAnsi="Arial" w:cs="Arial"/>
                <w:sz w:val="22"/>
                <w:szCs w:val="22"/>
                <w:vertAlign w:val="subscript"/>
              </w:rPr>
              <w:t>v</w:t>
            </w:r>
            <w:proofErr w:type="spellEnd"/>
            <w:r w:rsidRPr="00036FDA">
              <w:rPr>
                <w:rFonts w:ascii="Arial" w:hAnsi="Arial" w:cs="Arial"/>
                <w:sz w:val="22"/>
                <w:szCs w:val="22"/>
              </w:rPr>
              <w:t>, R</w:t>
            </w:r>
            <w:r w:rsidRPr="00036FDA">
              <w:rPr>
                <w:rFonts w:ascii="Arial" w:hAnsi="Arial" w:cs="Arial"/>
                <w:sz w:val="22"/>
                <w:szCs w:val="22"/>
                <w:vertAlign w:val="superscript"/>
              </w:rPr>
              <w:t>2</w:t>
            </w:r>
            <w:r w:rsidRPr="00036FDA">
              <w:rPr>
                <w:rFonts w:ascii="Arial" w:hAnsi="Arial" w:cs="Arial"/>
                <w:sz w:val="22"/>
                <w:szCs w:val="22"/>
              </w:rPr>
              <w:t xml:space="preserve"> = 0.51). </w:t>
            </w:r>
          </w:p>
          <w:p w14:paraId="5677F37A" w14:textId="77777777" w:rsidR="00036FDA" w:rsidRPr="00036FDA" w:rsidRDefault="00036FDA" w:rsidP="00090277">
            <w:pPr>
              <w:rPr>
                <w:rFonts w:ascii="Arial" w:hAnsi="Arial" w:cs="Arial"/>
                <w:sz w:val="22"/>
                <w:szCs w:val="22"/>
              </w:rPr>
            </w:pPr>
          </w:p>
          <w:p w14:paraId="366B5DD9" w14:textId="77777777" w:rsidR="00036FDA" w:rsidRDefault="00036FDA" w:rsidP="00090277">
            <w:pPr>
              <w:rPr>
                <w:rFonts w:ascii="Arial" w:hAnsi="Arial" w:cs="Arial"/>
                <w:sz w:val="22"/>
                <w:szCs w:val="22"/>
              </w:rPr>
            </w:pPr>
            <w:r w:rsidRPr="00036FDA">
              <w:rPr>
                <w:rFonts w:ascii="Arial" w:hAnsi="Arial" w:cs="Arial"/>
                <w:sz w:val="22"/>
                <w:szCs w:val="22"/>
              </w:rPr>
              <w:t>We then used a GAM to relate NDMI values for each plot to ground-collected leaf area index (LAI, 684 total plot-level means) values for growing-season</w:t>
            </w:r>
            <w:r w:rsidRPr="00036FDA">
              <w:rPr>
                <w:rFonts w:ascii="Arial" w:hAnsi="Arial" w:cs="Arial"/>
                <w:sz w:val="22"/>
                <w:szCs w:val="22"/>
                <w:vertAlign w:val="subscript"/>
              </w:rPr>
              <w:t>2023</w:t>
            </w:r>
            <w:r w:rsidRPr="00036FDA">
              <w:rPr>
                <w:rFonts w:ascii="Arial" w:hAnsi="Arial" w:cs="Arial"/>
                <w:sz w:val="22"/>
                <w:szCs w:val="22"/>
              </w:rPr>
              <w:t xml:space="preserve">. NDMI, LAI collection month, and fertility were used as predictors, and explained 63% of variation in LAI. </w:t>
            </w:r>
          </w:p>
          <w:p w14:paraId="15E1564D" w14:textId="77777777" w:rsidR="00036FDA" w:rsidRDefault="00036FDA" w:rsidP="00090277">
            <w:pPr>
              <w:rPr>
                <w:rFonts w:ascii="Arial" w:hAnsi="Arial" w:cs="Arial"/>
                <w:sz w:val="22"/>
                <w:szCs w:val="22"/>
              </w:rPr>
            </w:pPr>
          </w:p>
          <w:p w14:paraId="45C10056" w14:textId="77777777" w:rsidR="00090277" w:rsidRPr="00036FDA" w:rsidRDefault="00090277" w:rsidP="00090277">
            <w:pPr>
              <w:rPr>
                <w:sz w:val="22"/>
                <w:szCs w:val="22"/>
              </w:rPr>
            </w:pPr>
            <w:r w:rsidRPr="00036FDA">
              <w:rPr>
                <w:rFonts w:ascii="Arial" w:hAnsi="Arial" w:cs="Arial"/>
                <w:sz w:val="22"/>
                <w:szCs w:val="22"/>
              </w:rPr>
              <w:t>Next step was to relate LAI to litterfall biomass, but there was a lag between litterfall and LAI data collection. For example, due to a needle lifespan of ~18-months, collected December</w:t>
            </w:r>
            <w:r w:rsidRPr="00036FDA">
              <w:rPr>
                <w:rFonts w:ascii="Arial" w:hAnsi="Arial" w:cs="Arial"/>
                <w:sz w:val="22"/>
                <w:szCs w:val="22"/>
                <w:vertAlign w:val="subscript"/>
              </w:rPr>
              <w:t>2022</w:t>
            </w:r>
            <w:r w:rsidRPr="00036FDA">
              <w:rPr>
                <w:rFonts w:ascii="Arial" w:hAnsi="Arial" w:cs="Arial"/>
                <w:sz w:val="22"/>
                <w:szCs w:val="22"/>
              </w:rPr>
              <w:t xml:space="preserve"> litterfall samples (84 plot-level means) represented canopy conditions and LAI from growing-season</w:t>
            </w:r>
            <w:r w:rsidRPr="00036FDA">
              <w:rPr>
                <w:rFonts w:ascii="Arial" w:hAnsi="Arial" w:cs="Arial"/>
                <w:sz w:val="22"/>
                <w:szCs w:val="22"/>
                <w:vertAlign w:val="subscript"/>
              </w:rPr>
              <w:t>2021</w:t>
            </w:r>
            <w:r w:rsidRPr="00036FDA">
              <w:rPr>
                <w:rFonts w:ascii="Arial" w:hAnsi="Arial" w:cs="Arial"/>
                <w:sz w:val="22"/>
                <w:szCs w:val="22"/>
              </w:rPr>
              <w:t>. So, the above LAI model was used to predict LAI</w:t>
            </w:r>
            <w:r w:rsidRPr="00036FDA">
              <w:rPr>
                <w:rFonts w:ascii="Arial" w:hAnsi="Arial" w:cs="Arial"/>
                <w:sz w:val="22"/>
                <w:szCs w:val="22"/>
                <w:vertAlign w:val="subscript"/>
              </w:rPr>
              <w:t>2021</w:t>
            </w:r>
            <w:r w:rsidRPr="00036FDA">
              <w:rPr>
                <w:rFonts w:ascii="Arial" w:hAnsi="Arial" w:cs="Arial"/>
                <w:sz w:val="22"/>
                <w:szCs w:val="22"/>
              </w:rPr>
              <w:t xml:space="preserve">. </w:t>
            </w:r>
          </w:p>
          <w:p w14:paraId="1836B7B0" w14:textId="77777777" w:rsidR="00090277" w:rsidRPr="00036FDA" w:rsidRDefault="00090277" w:rsidP="00090277">
            <w:pPr>
              <w:pStyle w:val="Default"/>
              <w:rPr>
                <w:sz w:val="22"/>
                <w:szCs w:val="22"/>
              </w:rPr>
            </w:pPr>
          </w:p>
          <w:p w14:paraId="0631A99E" w14:textId="77777777" w:rsidR="00090277" w:rsidRPr="00036FDA" w:rsidRDefault="00090277" w:rsidP="00090277">
            <w:pPr>
              <w:rPr>
                <w:sz w:val="22"/>
                <w:szCs w:val="22"/>
              </w:rPr>
            </w:pPr>
            <w:r w:rsidRPr="00036FDA">
              <w:rPr>
                <w:rFonts w:ascii="Arial" w:hAnsi="Arial" w:cs="Arial"/>
                <w:sz w:val="22"/>
                <w:szCs w:val="22"/>
              </w:rPr>
              <w:t>Another GAM was then fitted to predict litterfall</w:t>
            </w:r>
            <w:r w:rsidRPr="00036FDA">
              <w:rPr>
                <w:rFonts w:ascii="Arial" w:hAnsi="Arial" w:cs="Arial"/>
                <w:sz w:val="22"/>
                <w:szCs w:val="22"/>
                <w:vertAlign w:val="subscript"/>
              </w:rPr>
              <w:t>2021</w:t>
            </w:r>
            <w:r w:rsidRPr="00036FDA">
              <w:rPr>
                <w:rFonts w:ascii="Arial" w:hAnsi="Arial" w:cs="Arial"/>
                <w:sz w:val="22"/>
                <w:szCs w:val="22"/>
              </w:rPr>
              <w:t xml:space="preserve"> biomass using predicted LAI</w:t>
            </w:r>
            <w:r w:rsidRPr="00036FDA">
              <w:rPr>
                <w:rFonts w:ascii="Arial" w:hAnsi="Arial" w:cs="Arial"/>
                <w:sz w:val="22"/>
                <w:szCs w:val="22"/>
                <w:vertAlign w:val="subscript"/>
              </w:rPr>
              <w:t>2021</w:t>
            </w:r>
            <w:r w:rsidRPr="00036FDA">
              <w:rPr>
                <w:rFonts w:ascii="Arial" w:hAnsi="Arial" w:cs="Arial"/>
                <w:sz w:val="22"/>
                <w:szCs w:val="22"/>
              </w:rPr>
              <w:t xml:space="preserve"> and site fertility as covariates. The GAM explained 75% of the variation in litterfall</w:t>
            </w:r>
            <w:r w:rsidRPr="00036FDA">
              <w:rPr>
                <w:rFonts w:ascii="Arial" w:hAnsi="Arial" w:cs="Arial"/>
                <w:sz w:val="22"/>
                <w:szCs w:val="22"/>
                <w:vertAlign w:val="subscript"/>
              </w:rPr>
              <w:t>2021</w:t>
            </w:r>
            <w:r w:rsidRPr="00036FDA">
              <w:rPr>
                <w:rFonts w:ascii="Arial" w:hAnsi="Arial" w:cs="Arial"/>
                <w:sz w:val="22"/>
                <w:szCs w:val="22"/>
              </w:rPr>
              <w:t>. Partial effects from the model also demonstrate</w:t>
            </w:r>
            <w:r>
              <w:rPr>
                <w:rFonts w:ascii="Arial" w:hAnsi="Arial" w:cs="Arial"/>
                <w:sz w:val="22"/>
                <w:szCs w:val="22"/>
              </w:rPr>
              <w:t>d</w:t>
            </w:r>
            <w:r w:rsidRPr="00036FDA">
              <w:rPr>
                <w:rFonts w:ascii="Arial" w:hAnsi="Arial" w:cs="Arial"/>
                <w:sz w:val="22"/>
                <w:szCs w:val="22"/>
              </w:rPr>
              <w:t xml:space="preserve"> that high fertility litterfall trends were non-linear while low fertility litterfall trends were more linear. </w:t>
            </w:r>
          </w:p>
          <w:p w14:paraId="3A44BB3C" w14:textId="77777777" w:rsidR="00090277" w:rsidRPr="00036FDA" w:rsidRDefault="00090277" w:rsidP="00090277">
            <w:pPr>
              <w:pStyle w:val="Pa12"/>
              <w:spacing w:line="240" w:lineRule="auto"/>
              <w:rPr>
                <w:rStyle w:val="A4"/>
                <w:bCs/>
              </w:rPr>
            </w:pPr>
          </w:p>
          <w:p w14:paraId="79CFC668" w14:textId="77777777" w:rsidR="00090277" w:rsidRPr="00036FDA" w:rsidRDefault="00090277" w:rsidP="00090277">
            <w:pPr>
              <w:pStyle w:val="Pa12"/>
              <w:spacing w:line="240" w:lineRule="auto"/>
              <w:rPr>
                <w:rStyle w:val="A4"/>
                <w:b/>
                <w:bCs/>
              </w:rPr>
            </w:pPr>
            <w:r w:rsidRPr="00036FDA">
              <w:rPr>
                <w:rStyle w:val="A4"/>
                <w:b/>
                <w:bCs/>
              </w:rPr>
              <w:t>Conclusion:</w:t>
            </w:r>
          </w:p>
          <w:p w14:paraId="32FB8D47" w14:textId="77777777" w:rsidR="00090277" w:rsidRPr="00036FDA" w:rsidRDefault="00090277" w:rsidP="00090277">
            <w:pPr>
              <w:pStyle w:val="Pa12"/>
              <w:spacing w:line="240" w:lineRule="auto"/>
              <w:rPr>
                <w:rStyle w:val="A4"/>
                <w:b/>
                <w:bCs/>
              </w:rPr>
            </w:pPr>
          </w:p>
          <w:p w14:paraId="77679C41" w14:textId="77777777" w:rsidR="00090277" w:rsidRPr="00036FDA" w:rsidRDefault="00090277" w:rsidP="00090277">
            <w:pPr>
              <w:rPr>
                <w:sz w:val="22"/>
                <w:szCs w:val="22"/>
              </w:rPr>
            </w:pPr>
            <w:r w:rsidRPr="00036FDA">
              <w:rPr>
                <w:rFonts w:ascii="Arial" w:hAnsi="Arial" w:cs="Arial"/>
                <w:sz w:val="22"/>
                <w:szCs w:val="22"/>
              </w:rPr>
              <w:t xml:space="preserve">Our workflow provides structure for how longleaf pine plantation managers, who are likely interested in pine straw yields, can leverage current year imagery to predict longleaf pine litterfall in the subsequent year. </w:t>
            </w:r>
          </w:p>
          <w:p w14:paraId="7B534D14" w14:textId="77777777" w:rsidR="00090277" w:rsidRDefault="00090277" w:rsidP="00090277">
            <w:pPr>
              <w:rPr>
                <w:rFonts w:ascii="Arial" w:hAnsi="Arial" w:cs="Arial"/>
                <w:sz w:val="22"/>
                <w:szCs w:val="22"/>
              </w:rPr>
            </w:pPr>
          </w:p>
          <w:p w14:paraId="69B04572" w14:textId="4FFC1C95" w:rsidR="001564A4" w:rsidRPr="00036FDA" w:rsidRDefault="001564A4" w:rsidP="00090277">
            <w:pPr>
              <w:rPr>
                <w:rFonts w:ascii="Arial" w:hAnsi="Arial" w:cs="Arial"/>
                <w:sz w:val="22"/>
                <w:szCs w:val="22"/>
              </w:rPr>
            </w:pPr>
            <w:r w:rsidRPr="00036FDA">
              <w:rPr>
                <w:rFonts w:ascii="Arial" w:hAnsi="Arial" w:cs="Arial"/>
                <w:sz w:val="22"/>
                <w:szCs w:val="22"/>
              </w:rPr>
              <w:br/>
            </w:r>
          </w:p>
          <w:p w14:paraId="2A651708" w14:textId="77777777" w:rsidR="001564A4" w:rsidRPr="00036FDA" w:rsidRDefault="001564A4" w:rsidP="00090277">
            <w:pPr>
              <w:pStyle w:val="Pa12"/>
              <w:spacing w:line="240" w:lineRule="auto"/>
              <w:rPr>
                <w:sz w:val="22"/>
                <w:szCs w:val="22"/>
              </w:rPr>
            </w:pPr>
          </w:p>
          <w:p w14:paraId="033167F9" w14:textId="72B9A62A" w:rsidR="001564A4" w:rsidRPr="00036FDA" w:rsidRDefault="001564A4" w:rsidP="00090277">
            <w:pPr>
              <w:pStyle w:val="Pa12"/>
              <w:spacing w:line="240" w:lineRule="auto"/>
              <w:rPr>
                <w:rStyle w:val="A4"/>
                <w:bCs/>
              </w:rPr>
            </w:pPr>
          </w:p>
          <w:p w14:paraId="196E7BAC" w14:textId="79E61875" w:rsidR="00CF7FFC" w:rsidRPr="00036FDA" w:rsidRDefault="00CF7FFC" w:rsidP="00090277">
            <w:pPr>
              <w:pStyle w:val="Pa12"/>
              <w:spacing w:line="240" w:lineRule="auto"/>
              <w:rPr>
                <w:sz w:val="22"/>
                <w:szCs w:val="22"/>
              </w:rPr>
            </w:pPr>
          </w:p>
          <w:p w14:paraId="7F8381F0" w14:textId="5098D1CD" w:rsidR="001564A4" w:rsidRPr="00036FDA" w:rsidRDefault="001564A4" w:rsidP="00090277">
            <w:pPr>
              <w:pStyle w:val="Pa12"/>
              <w:spacing w:line="240" w:lineRule="auto"/>
              <w:rPr>
                <w:sz w:val="22"/>
                <w:szCs w:val="22"/>
              </w:rPr>
            </w:pPr>
            <w:r w:rsidRPr="00036FDA">
              <w:rPr>
                <w:sz w:val="22"/>
                <w:szCs w:val="22"/>
              </w:rPr>
              <w:br/>
            </w:r>
            <w:r w:rsidRPr="00036FDA">
              <w:rPr>
                <w:sz w:val="22"/>
                <w:szCs w:val="22"/>
              </w:rPr>
              <w:br/>
            </w:r>
            <w:r w:rsidRPr="00036FDA">
              <w:rPr>
                <w:sz w:val="22"/>
                <w:szCs w:val="22"/>
              </w:rPr>
              <w:br/>
            </w:r>
            <w:r w:rsidRPr="00036FDA">
              <w:rPr>
                <w:sz w:val="22"/>
                <w:szCs w:val="22"/>
              </w:rPr>
              <w:br/>
            </w:r>
            <w:r w:rsidRPr="00036FDA">
              <w:rPr>
                <w:sz w:val="22"/>
                <w:szCs w:val="22"/>
              </w:rPr>
              <w:br/>
            </w:r>
            <w:r w:rsidRPr="00036FDA">
              <w:rPr>
                <w:sz w:val="22"/>
                <w:szCs w:val="22"/>
              </w:rPr>
              <w:br/>
            </w:r>
            <w:r w:rsidRPr="00036FDA">
              <w:rPr>
                <w:sz w:val="22"/>
                <w:szCs w:val="22"/>
              </w:rPr>
              <w:br/>
            </w:r>
            <w:r w:rsidRPr="00036FDA">
              <w:rPr>
                <w:sz w:val="22"/>
                <w:szCs w:val="22"/>
              </w:rPr>
              <w:br/>
            </w:r>
            <w:r w:rsidRPr="00036FDA">
              <w:rPr>
                <w:sz w:val="22"/>
                <w:szCs w:val="22"/>
              </w:rPr>
              <w:br/>
            </w:r>
            <w:r w:rsidRPr="00036FDA">
              <w:rPr>
                <w:sz w:val="22"/>
                <w:szCs w:val="22"/>
              </w:rPr>
              <w:br/>
            </w:r>
          </w:p>
          <w:p w14:paraId="731CD908" w14:textId="77777777" w:rsidR="001564A4" w:rsidRPr="00036FDA" w:rsidRDefault="001564A4" w:rsidP="00090277">
            <w:pPr>
              <w:pStyle w:val="Default"/>
              <w:rPr>
                <w:sz w:val="22"/>
                <w:szCs w:val="22"/>
              </w:rPr>
            </w:pPr>
          </w:p>
          <w:p w14:paraId="34BF0A0F" w14:textId="77777777" w:rsidR="001564A4" w:rsidRPr="00036FDA" w:rsidRDefault="001564A4" w:rsidP="00090277">
            <w:pPr>
              <w:pStyle w:val="Default"/>
              <w:rPr>
                <w:sz w:val="22"/>
                <w:szCs w:val="22"/>
              </w:rPr>
            </w:pPr>
          </w:p>
          <w:p w14:paraId="1FF1A88F" w14:textId="77777777" w:rsidR="001564A4" w:rsidRPr="00036FDA" w:rsidRDefault="001564A4" w:rsidP="00090277">
            <w:pPr>
              <w:pStyle w:val="Pa12"/>
              <w:spacing w:line="240" w:lineRule="auto"/>
              <w:rPr>
                <w:rStyle w:val="A4"/>
                <w:bCs/>
              </w:rPr>
            </w:pPr>
            <w:r w:rsidRPr="00036FDA">
              <w:rPr>
                <w:rStyle w:val="A4"/>
                <w:bCs/>
              </w:rPr>
              <w:br/>
            </w:r>
            <w:r w:rsidRPr="00036FDA">
              <w:rPr>
                <w:rStyle w:val="A4"/>
                <w:bCs/>
              </w:rPr>
              <w:br/>
            </w:r>
            <w:r w:rsidRPr="00036FDA">
              <w:rPr>
                <w:rStyle w:val="A4"/>
                <w:bCs/>
              </w:rPr>
              <w:br/>
            </w:r>
            <w:r w:rsidRPr="00036FDA">
              <w:rPr>
                <w:rStyle w:val="A4"/>
                <w:bCs/>
              </w:rPr>
              <w:br/>
            </w:r>
            <w:r w:rsidRPr="00036FDA">
              <w:rPr>
                <w:rStyle w:val="A4"/>
                <w:bCs/>
              </w:rPr>
              <w:br/>
            </w:r>
            <w:r w:rsidRPr="00036FDA">
              <w:rPr>
                <w:rStyle w:val="A4"/>
                <w:bCs/>
              </w:rPr>
              <w:br/>
            </w:r>
            <w:r w:rsidRPr="00036FDA">
              <w:rPr>
                <w:rStyle w:val="A4"/>
                <w:bCs/>
              </w:rPr>
              <w:br/>
            </w:r>
            <w:r w:rsidRPr="00036FDA">
              <w:rPr>
                <w:rStyle w:val="A4"/>
                <w:bCs/>
              </w:rPr>
              <w:br/>
            </w:r>
            <w:r w:rsidRPr="00036FDA">
              <w:rPr>
                <w:rStyle w:val="A4"/>
                <w:bCs/>
              </w:rPr>
              <w:br/>
            </w:r>
            <w:r w:rsidRPr="00036FDA">
              <w:rPr>
                <w:rStyle w:val="A4"/>
                <w:bCs/>
              </w:rPr>
              <w:br/>
            </w:r>
            <w:r w:rsidRPr="00036FDA">
              <w:rPr>
                <w:rStyle w:val="A4"/>
                <w:bCs/>
              </w:rPr>
              <w:br/>
            </w:r>
          </w:p>
          <w:p w14:paraId="14DC37E4" w14:textId="77777777" w:rsidR="001564A4" w:rsidRPr="00036FDA" w:rsidRDefault="001564A4" w:rsidP="00090277">
            <w:pPr>
              <w:pStyle w:val="Default"/>
              <w:rPr>
                <w:rStyle w:val="A4"/>
                <w:bCs/>
              </w:rPr>
            </w:pPr>
          </w:p>
          <w:p w14:paraId="5F58D34F" w14:textId="77777777" w:rsidR="001564A4" w:rsidRPr="00036FDA" w:rsidRDefault="001564A4" w:rsidP="00090277">
            <w:pPr>
              <w:pStyle w:val="Default"/>
              <w:rPr>
                <w:sz w:val="22"/>
                <w:szCs w:val="22"/>
                <w:lang w:val="en-US" w:eastAsia="en-GB"/>
              </w:rPr>
            </w:pP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r w:rsidRPr="00036FDA">
              <w:rPr>
                <w:sz w:val="22"/>
                <w:szCs w:val="22"/>
                <w:lang w:val="en-US" w:eastAsia="en-GB"/>
              </w:rPr>
              <w:br/>
            </w:r>
          </w:p>
        </w:tc>
      </w:tr>
    </w:tbl>
    <w:p w14:paraId="7C36A9DC" w14:textId="32A70617" w:rsidR="00E0700F" w:rsidRDefault="00E0700F" w:rsidP="00090277"/>
    <w:p w14:paraId="7BCA7251" w14:textId="77777777" w:rsidR="001F0AC4" w:rsidRDefault="001F0AC4" w:rsidP="00090277"/>
    <w:p w14:paraId="65A73F06" w14:textId="47B9312F" w:rsidR="001F0AC4" w:rsidRDefault="001F0AC4" w:rsidP="00090277">
      <w:pPr>
        <w:pStyle w:val="Pa12"/>
      </w:pPr>
    </w:p>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36FDA"/>
    <w:rsid w:val="00090277"/>
    <w:rsid w:val="00146A27"/>
    <w:rsid w:val="001564A4"/>
    <w:rsid w:val="001F0AC4"/>
    <w:rsid w:val="0051574E"/>
    <w:rsid w:val="008803FA"/>
    <w:rsid w:val="00B12E32"/>
    <w:rsid w:val="00CF7FFC"/>
    <w:rsid w:val="00E0700F"/>
    <w:rsid w:val="00E86C7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schemas.microsoft.com/office/2006/documentManagement/types"/>
    <ds:schemaRef ds:uri="6911e96c-4cc4-42d5-8e43-f93924cf6a05"/>
    <ds:schemaRef ds:uri="http://purl.org/dc/terms/"/>
    <ds:schemaRef ds:uri="http://purl.org/dc/elements/1.1/"/>
    <ds:schemaRef ds:uri="9c8a2b7b-0bee-4c48-b0a6-23db8982d3bc"/>
    <ds:schemaRef ds:uri="http://purl.org/dc/dcmitype/"/>
    <ds:schemaRef ds:uri="http://schemas.microsoft.com/office/2006/metadata/properties"/>
    <ds:schemaRef ds:uri="http://schemas.microsoft.com/office/infopath/2007/PartnerControls"/>
    <ds:schemaRef ds:uri="http://schemas.openxmlformats.org/package/2006/metadata/core-properties"/>
    <ds:schemaRef ds:uri="cab52c9b-ab33-4221-8af9-54f8f2b86a8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2024-04-09T01:23:00Z</dcterms:created>
  <dcterms:modified xsi:type="dcterms:W3CDTF">2024-04-09T01:25:00Z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