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D80FBF" w14:paraId="5C38377B" w14:textId="77777777" w:rsidTr="000A28E2">
        <w:trPr>
          <w:jc w:val="center"/>
        </w:trPr>
        <w:tc>
          <w:tcPr>
            <w:tcW w:w="8640" w:type="dxa"/>
            <w:shd w:val="clear" w:color="auto" w:fill="auto"/>
          </w:tcPr>
          <w:p w14:paraId="5C44F357" w14:textId="7762623E" w:rsidR="001564A4" w:rsidRPr="00D80FBF" w:rsidRDefault="007B25F2" w:rsidP="00D80FBF">
            <w:pPr>
              <w:spacing w:before="120" w:after="120"/>
              <w:rPr>
                <w:rFonts w:ascii="Arial" w:hAnsi="Arial" w:cs="Arial"/>
                <w:b/>
                <w:sz w:val="22"/>
                <w:szCs w:val="22"/>
                <w:lang w:val="en-US" w:eastAsia="zh-CN"/>
              </w:rPr>
            </w:pPr>
            <w:r w:rsidRPr="00D80FBF">
              <w:rPr>
                <w:rFonts w:ascii="Arial" w:hAnsi="Arial" w:cs="Arial"/>
                <w:b/>
                <w:sz w:val="22"/>
                <w:szCs w:val="22"/>
                <w:lang w:val="en-US" w:eastAsia="en-GB"/>
              </w:rPr>
              <w:t>Fractional exhaled nitric oxide (FeNO) biomarker in uncontrolled asthma</w:t>
            </w:r>
          </w:p>
        </w:tc>
      </w:tr>
      <w:tr w:rsidR="001564A4" w:rsidRPr="00D80FBF" w14:paraId="0E2E035C" w14:textId="77777777" w:rsidTr="000A28E2">
        <w:trPr>
          <w:jc w:val="center"/>
        </w:trPr>
        <w:tc>
          <w:tcPr>
            <w:tcW w:w="8640" w:type="dxa"/>
            <w:shd w:val="clear" w:color="auto" w:fill="auto"/>
          </w:tcPr>
          <w:p w14:paraId="73B55295" w14:textId="73672870" w:rsidR="001564A4" w:rsidRPr="00D80FBF" w:rsidRDefault="00CC209A" w:rsidP="00CC209A">
            <w:pPr>
              <w:spacing w:before="120" w:after="120"/>
              <w:rPr>
                <w:rFonts w:ascii="Arial" w:hAnsi="Arial" w:cs="Arial"/>
                <w:sz w:val="22"/>
                <w:szCs w:val="22"/>
                <w:u w:val="single"/>
                <w:lang w:eastAsia="zh-CN"/>
              </w:rPr>
            </w:pPr>
            <w:r w:rsidRPr="00D80FBF">
              <w:rPr>
                <w:rFonts w:ascii="Arial" w:hAnsi="Arial" w:cs="Arial"/>
                <w:sz w:val="22"/>
                <w:szCs w:val="22"/>
                <w:lang w:val="en-US" w:eastAsia="en-GB"/>
              </w:rPr>
              <w:t>Jana Moody</w:t>
            </w:r>
            <w:r>
              <w:rPr>
                <w:rFonts w:ascii="Arial" w:hAnsi="Arial" w:cs="Arial"/>
                <w:sz w:val="22"/>
                <w:szCs w:val="22"/>
                <w:vertAlign w:val="superscript"/>
                <w:lang w:val="en-US" w:eastAsia="en-GB"/>
              </w:rPr>
              <w:t>1</w:t>
            </w:r>
            <w:r w:rsidRPr="00CC209A">
              <w:rPr>
                <w:rFonts w:ascii="Arial" w:hAnsi="Arial" w:cs="Arial"/>
                <w:sz w:val="22"/>
                <w:szCs w:val="22"/>
                <w:lang w:val="en-US" w:eastAsia="en-GB"/>
              </w:rPr>
              <w:t>*</w:t>
            </w:r>
            <w:r>
              <w:rPr>
                <w:rFonts w:ascii="Arial" w:hAnsi="Arial" w:cs="Arial"/>
                <w:sz w:val="22"/>
                <w:szCs w:val="22"/>
                <w:lang w:val="en-US" w:eastAsia="en-GB"/>
              </w:rPr>
              <w:t xml:space="preserve">, </w:t>
            </w:r>
            <w:r w:rsidR="007B25F2" w:rsidRPr="00D80FBF">
              <w:rPr>
                <w:rFonts w:ascii="Arial" w:hAnsi="Arial" w:cs="Arial"/>
                <w:sz w:val="22"/>
                <w:szCs w:val="22"/>
                <w:lang w:val="en-US" w:eastAsia="en-GB"/>
              </w:rPr>
              <w:t>Joy Lee</w:t>
            </w:r>
            <w:r>
              <w:rPr>
                <w:rFonts w:ascii="Arial" w:hAnsi="Arial" w:cs="Arial"/>
                <w:sz w:val="22"/>
                <w:szCs w:val="22"/>
                <w:vertAlign w:val="superscript"/>
                <w:lang w:val="en-US" w:eastAsia="en-GB"/>
              </w:rPr>
              <w:t>2</w:t>
            </w:r>
            <w:r w:rsidR="007B25F2" w:rsidRPr="00D80FBF">
              <w:rPr>
                <w:rFonts w:ascii="Arial" w:hAnsi="Arial" w:cs="Arial"/>
                <w:sz w:val="22"/>
                <w:szCs w:val="22"/>
                <w:vertAlign w:val="superscript"/>
                <w:lang w:val="en-US" w:eastAsia="en-GB"/>
              </w:rPr>
              <w:t>,</w:t>
            </w:r>
            <w:r>
              <w:rPr>
                <w:rFonts w:ascii="Arial" w:hAnsi="Arial" w:cs="Arial"/>
                <w:sz w:val="22"/>
                <w:szCs w:val="22"/>
                <w:vertAlign w:val="superscript"/>
                <w:lang w:val="en-US" w:eastAsia="en-GB"/>
              </w:rPr>
              <w:t>3</w:t>
            </w:r>
            <w:r w:rsidR="007B25F2" w:rsidRPr="00D80FBF">
              <w:rPr>
                <w:rFonts w:ascii="Arial" w:hAnsi="Arial" w:cs="Arial"/>
                <w:sz w:val="22"/>
                <w:szCs w:val="22"/>
                <w:lang w:val="en-US" w:eastAsia="en-GB"/>
              </w:rPr>
              <w:t>*, William W. Busse</w:t>
            </w:r>
            <w:r>
              <w:rPr>
                <w:rFonts w:ascii="Arial" w:hAnsi="Arial" w:cs="Arial"/>
                <w:sz w:val="22"/>
                <w:szCs w:val="22"/>
                <w:vertAlign w:val="superscript"/>
                <w:lang w:val="en-US" w:eastAsia="en-GB"/>
              </w:rPr>
              <w:t>4</w:t>
            </w:r>
            <w:r w:rsidR="007B25F2" w:rsidRPr="00D80FBF">
              <w:rPr>
                <w:rFonts w:ascii="Arial" w:hAnsi="Arial" w:cs="Arial"/>
                <w:sz w:val="22"/>
                <w:szCs w:val="22"/>
                <w:lang w:val="en-US" w:eastAsia="en-GB"/>
              </w:rPr>
              <w:t>, Ian D Pavord</w:t>
            </w:r>
            <w:r>
              <w:rPr>
                <w:rFonts w:ascii="Arial" w:hAnsi="Arial" w:cs="Arial"/>
                <w:sz w:val="22"/>
                <w:szCs w:val="22"/>
                <w:vertAlign w:val="superscript"/>
                <w:lang w:val="en-US" w:eastAsia="en-GB"/>
              </w:rPr>
              <w:t>5</w:t>
            </w:r>
            <w:r w:rsidR="007B25F2" w:rsidRPr="00D80FBF">
              <w:rPr>
                <w:rFonts w:ascii="Arial" w:hAnsi="Arial" w:cs="Arial"/>
                <w:sz w:val="22"/>
                <w:szCs w:val="22"/>
                <w:lang w:val="en-US" w:eastAsia="en-GB"/>
              </w:rPr>
              <w:t>, Michael E. Wechsler</w:t>
            </w:r>
            <w:r>
              <w:rPr>
                <w:rFonts w:ascii="Arial" w:hAnsi="Arial" w:cs="Arial"/>
                <w:sz w:val="22"/>
                <w:szCs w:val="22"/>
                <w:vertAlign w:val="superscript"/>
                <w:lang w:val="en-US" w:eastAsia="en-GB"/>
              </w:rPr>
              <w:t>6</w:t>
            </w:r>
            <w:r w:rsidR="007B25F2" w:rsidRPr="00D80FBF">
              <w:rPr>
                <w:rFonts w:ascii="Arial" w:hAnsi="Arial" w:cs="Arial"/>
                <w:sz w:val="22"/>
                <w:szCs w:val="22"/>
                <w:lang w:val="en-US" w:eastAsia="en-GB"/>
              </w:rPr>
              <w:t>, Ignacio J. Davila</w:t>
            </w:r>
            <w:r>
              <w:rPr>
                <w:rFonts w:ascii="Arial" w:hAnsi="Arial" w:cs="Arial"/>
                <w:sz w:val="22"/>
                <w:szCs w:val="22"/>
                <w:vertAlign w:val="superscript"/>
                <w:lang w:val="en-US" w:eastAsia="en-GB"/>
              </w:rPr>
              <w:t>7</w:t>
            </w:r>
            <w:r w:rsidR="007B25F2" w:rsidRPr="00D80FBF">
              <w:rPr>
                <w:rFonts w:ascii="Arial" w:hAnsi="Arial" w:cs="Arial"/>
                <w:sz w:val="22"/>
                <w:szCs w:val="22"/>
                <w:lang w:val="en-US" w:eastAsia="en-GB"/>
              </w:rPr>
              <w:t>, Arman Altincatal</w:t>
            </w:r>
            <w:r>
              <w:rPr>
                <w:rFonts w:ascii="Arial" w:hAnsi="Arial" w:cs="Arial"/>
                <w:sz w:val="22"/>
                <w:szCs w:val="22"/>
                <w:vertAlign w:val="superscript"/>
                <w:lang w:val="en-US" w:eastAsia="en-GB"/>
              </w:rPr>
              <w:t>8</w:t>
            </w:r>
            <w:r w:rsidR="007B25F2" w:rsidRPr="00D80FBF">
              <w:rPr>
                <w:rFonts w:ascii="Arial" w:hAnsi="Arial" w:cs="Arial"/>
                <w:sz w:val="22"/>
                <w:szCs w:val="22"/>
                <w:lang w:val="en-US" w:eastAsia="en-GB"/>
              </w:rPr>
              <w:t>, Xavier Soler</w:t>
            </w:r>
            <w:r>
              <w:rPr>
                <w:rFonts w:ascii="Arial" w:hAnsi="Arial" w:cs="Arial"/>
                <w:sz w:val="22"/>
                <w:szCs w:val="22"/>
                <w:vertAlign w:val="superscript"/>
                <w:lang w:val="en-US" w:eastAsia="en-GB"/>
              </w:rPr>
              <w:t>9</w:t>
            </w:r>
            <w:r w:rsidR="007B25F2" w:rsidRPr="00D80FBF">
              <w:rPr>
                <w:rFonts w:ascii="Arial" w:hAnsi="Arial" w:cs="Arial"/>
                <w:sz w:val="22"/>
                <w:szCs w:val="22"/>
                <w:lang w:val="en-US" w:eastAsia="en-GB"/>
              </w:rPr>
              <w:t>, Megan Hardin</w:t>
            </w:r>
            <w:r>
              <w:rPr>
                <w:rFonts w:ascii="Arial" w:hAnsi="Arial" w:cs="Arial"/>
                <w:sz w:val="22"/>
                <w:szCs w:val="22"/>
                <w:vertAlign w:val="superscript"/>
                <w:lang w:val="en-US" w:eastAsia="en-GB"/>
              </w:rPr>
              <w:t>8</w:t>
            </w:r>
          </w:p>
        </w:tc>
      </w:tr>
      <w:tr w:rsidR="001564A4" w:rsidRPr="00D80FBF" w14:paraId="385A19D9" w14:textId="77777777" w:rsidTr="00C35258">
        <w:trPr>
          <w:trHeight w:val="2843"/>
          <w:jc w:val="center"/>
        </w:trPr>
        <w:tc>
          <w:tcPr>
            <w:tcW w:w="8640" w:type="dxa"/>
            <w:shd w:val="clear" w:color="auto" w:fill="auto"/>
          </w:tcPr>
          <w:p w14:paraId="6EA105D3" w14:textId="11D5FA68" w:rsidR="00CC209A" w:rsidRDefault="00CC209A" w:rsidP="00D80FBF">
            <w:pPr>
              <w:pStyle w:val="ListParagraph"/>
              <w:spacing w:line="240" w:lineRule="auto"/>
              <w:ind w:left="0"/>
              <w:rPr>
                <w:rFonts w:ascii="Arial" w:hAnsi="Arial" w:cs="Arial"/>
                <w:i/>
                <w:iCs/>
                <w:vertAlign w:val="superscript"/>
              </w:rPr>
            </w:pPr>
            <w:r>
              <w:rPr>
                <w:rFonts w:ascii="Arial" w:hAnsi="Arial" w:cs="Arial"/>
                <w:i/>
                <w:iCs/>
                <w:vertAlign w:val="superscript"/>
              </w:rPr>
              <w:t>1</w:t>
            </w:r>
            <w:r w:rsidRPr="00D80FBF">
              <w:rPr>
                <w:rFonts w:ascii="Arial" w:hAnsi="Arial" w:cs="Arial"/>
                <w:i/>
                <w:iCs/>
              </w:rPr>
              <w:t>Sanofi, New South Wales, Australia</w:t>
            </w:r>
          </w:p>
          <w:p w14:paraId="45ED36BF" w14:textId="2A778556" w:rsidR="007B25F2" w:rsidRPr="00D80FBF" w:rsidRDefault="00CC209A" w:rsidP="00D80FBF">
            <w:pPr>
              <w:pStyle w:val="ListParagraph"/>
              <w:spacing w:line="240" w:lineRule="auto"/>
              <w:ind w:left="0"/>
              <w:rPr>
                <w:rFonts w:ascii="Arial" w:hAnsi="Arial" w:cs="Arial"/>
                <w:i/>
                <w:lang w:val="en-US" w:eastAsia="en-GB"/>
              </w:rPr>
            </w:pPr>
            <w:r>
              <w:rPr>
                <w:rFonts w:ascii="Arial" w:hAnsi="Arial" w:cs="Arial"/>
                <w:i/>
                <w:iCs/>
                <w:vertAlign w:val="superscript"/>
              </w:rPr>
              <w:t>2</w:t>
            </w:r>
            <w:r w:rsidR="007B25F2" w:rsidRPr="00D80FBF">
              <w:rPr>
                <w:rFonts w:ascii="Arial" w:hAnsi="Arial" w:cs="Arial"/>
                <w:i/>
                <w:iCs/>
              </w:rPr>
              <w:t>Allergy, Asthma and Clinical Immunology and Respiratory medicine, Alfred Health, Melbourne, Victoria, Australia</w:t>
            </w:r>
            <w:r w:rsidR="007B25F2" w:rsidRPr="00D80FBF">
              <w:rPr>
                <w:rFonts w:ascii="Arial" w:hAnsi="Arial" w:cs="Arial"/>
                <w:i/>
                <w:iCs/>
              </w:rPr>
              <w:br/>
            </w:r>
            <w:r>
              <w:rPr>
                <w:rFonts w:ascii="Arial" w:hAnsi="Arial" w:cs="Arial"/>
                <w:i/>
                <w:iCs/>
                <w:vertAlign w:val="superscript"/>
              </w:rPr>
              <w:t>3</w:t>
            </w:r>
            <w:r w:rsidR="007B25F2" w:rsidRPr="00D80FBF">
              <w:rPr>
                <w:rFonts w:ascii="Arial" w:hAnsi="Arial" w:cs="Arial"/>
                <w:i/>
                <w:iCs/>
              </w:rPr>
              <w:t>School of Public Health and Preventive Medicine, Monash University, Melbourne, Victoria, Australia</w:t>
            </w:r>
            <w:r w:rsidR="007B25F2" w:rsidRPr="00D80FBF">
              <w:rPr>
                <w:rFonts w:ascii="Arial" w:hAnsi="Arial" w:cs="Arial"/>
                <w:i/>
                <w:iCs/>
              </w:rPr>
              <w:br/>
            </w:r>
            <w:r>
              <w:rPr>
                <w:rFonts w:ascii="Arial" w:hAnsi="Arial" w:cs="Arial"/>
                <w:i/>
                <w:iCs/>
                <w:vertAlign w:val="superscript"/>
              </w:rPr>
              <w:t>4</w:t>
            </w:r>
            <w:r w:rsidR="007B25F2" w:rsidRPr="00D80FBF">
              <w:rPr>
                <w:rFonts w:ascii="Arial" w:hAnsi="Arial" w:cs="Arial"/>
                <w:i/>
                <w:iCs/>
              </w:rPr>
              <w:t>University of Wisconsin School of Medicine and Public Health, Madison, WI, USA</w:t>
            </w:r>
            <w:r w:rsidR="007B25F2" w:rsidRPr="00D80FBF">
              <w:rPr>
                <w:rFonts w:ascii="Arial" w:hAnsi="Arial" w:cs="Arial"/>
                <w:i/>
                <w:iCs/>
              </w:rPr>
              <w:br/>
            </w:r>
            <w:r>
              <w:rPr>
                <w:rFonts w:ascii="Arial" w:hAnsi="Arial" w:cs="Arial"/>
                <w:i/>
                <w:iCs/>
                <w:vertAlign w:val="superscript"/>
              </w:rPr>
              <w:t>5</w:t>
            </w:r>
            <w:r w:rsidR="007B25F2" w:rsidRPr="00D80FBF">
              <w:rPr>
                <w:rFonts w:ascii="Arial" w:hAnsi="Arial" w:cs="Arial"/>
                <w:i/>
                <w:iCs/>
              </w:rPr>
              <w:t>NIHR Oxford Biomedical Research Centre, University of Oxford, Oxford, UK</w:t>
            </w:r>
            <w:r w:rsidR="007B25F2" w:rsidRPr="00D80FBF">
              <w:rPr>
                <w:rFonts w:ascii="Arial" w:hAnsi="Arial" w:cs="Arial"/>
                <w:i/>
                <w:iCs/>
              </w:rPr>
              <w:br/>
            </w:r>
            <w:r>
              <w:rPr>
                <w:rFonts w:ascii="Arial" w:hAnsi="Arial" w:cs="Arial"/>
                <w:i/>
                <w:iCs/>
                <w:vertAlign w:val="superscript"/>
              </w:rPr>
              <w:t>6</w:t>
            </w:r>
            <w:r w:rsidR="007B25F2" w:rsidRPr="00D80FBF">
              <w:rPr>
                <w:rFonts w:ascii="Arial" w:hAnsi="Arial" w:cs="Arial"/>
                <w:i/>
                <w:iCs/>
              </w:rPr>
              <w:t>National Jewish Health, Denver, CO, USA</w:t>
            </w:r>
            <w:r w:rsidR="007B25F2" w:rsidRPr="00D80FBF">
              <w:rPr>
                <w:rFonts w:ascii="Arial" w:hAnsi="Arial" w:cs="Arial"/>
                <w:i/>
                <w:iCs/>
              </w:rPr>
              <w:br/>
            </w:r>
            <w:r>
              <w:rPr>
                <w:rFonts w:ascii="Arial" w:hAnsi="Arial" w:cs="Arial"/>
                <w:i/>
                <w:iCs/>
                <w:vertAlign w:val="superscript"/>
              </w:rPr>
              <w:t>7</w:t>
            </w:r>
            <w:r w:rsidR="007B25F2" w:rsidRPr="00D80FBF">
              <w:rPr>
                <w:rFonts w:ascii="Arial" w:hAnsi="Arial" w:cs="Arial"/>
                <w:i/>
                <w:iCs/>
              </w:rPr>
              <w:t>University of</w:t>
            </w:r>
            <w:r w:rsidR="007B25F2" w:rsidRPr="00D80FBF">
              <w:rPr>
                <w:rFonts w:ascii="Arial" w:hAnsi="Arial" w:cs="Arial"/>
                <w:i/>
                <w:iCs/>
                <w:color w:val="000000"/>
                <w:shd w:val="clear" w:color="auto" w:fill="FFFFFF"/>
              </w:rPr>
              <w:t xml:space="preserve"> Salamanca, Salamanca, Spain</w:t>
            </w:r>
            <w:r w:rsidR="007B25F2" w:rsidRPr="00D80FBF">
              <w:rPr>
                <w:rFonts w:ascii="Arial" w:hAnsi="Arial" w:cs="Arial"/>
                <w:i/>
                <w:iCs/>
                <w:color w:val="000000"/>
                <w:shd w:val="clear" w:color="auto" w:fill="FFFFFF"/>
              </w:rPr>
              <w:br/>
            </w:r>
            <w:r>
              <w:rPr>
                <w:rFonts w:ascii="Arial" w:hAnsi="Arial" w:cs="Arial"/>
                <w:i/>
                <w:iCs/>
                <w:vertAlign w:val="superscript"/>
              </w:rPr>
              <w:t>8</w:t>
            </w:r>
            <w:r w:rsidR="007B25F2" w:rsidRPr="00D80FBF">
              <w:rPr>
                <w:rFonts w:ascii="Arial" w:hAnsi="Arial" w:cs="Arial"/>
                <w:i/>
                <w:iCs/>
              </w:rPr>
              <w:t>Sanofi, Cambridge, MA, USA</w:t>
            </w:r>
            <w:r w:rsidR="007B25F2" w:rsidRPr="00D80FBF">
              <w:rPr>
                <w:rFonts w:ascii="Arial" w:hAnsi="Arial" w:cs="Arial"/>
                <w:i/>
                <w:iCs/>
              </w:rPr>
              <w:br/>
            </w:r>
            <w:r>
              <w:rPr>
                <w:rFonts w:ascii="Arial" w:hAnsi="Arial" w:cs="Arial"/>
                <w:i/>
                <w:iCs/>
                <w:vertAlign w:val="superscript"/>
              </w:rPr>
              <w:t>9</w:t>
            </w:r>
            <w:r w:rsidR="007B25F2" w:rsidRPr="00D80FBF">
              <w:rPr>
                <w:rFonts w:ascii="Arial" w:hAnsi="Arial" w:cs="Arial"/>
                <w:i/>
                <w:iCs/>
              </w:rPr>
              <w:t>Regeneron Pharmaceuticals Inc., Tarrytown, NY, USA</w:t>
            </w:r>
          </w:p>
        </w:tc>
      </w:tr>
      <w:tr w:rsidR="001564A4" w:rsidRPr="00D80FBF" w14:paraId="6DAF615A" w14:textId="77777777" w:rsidTr="007B25F2">
        <w:trPr>
          <w:trHeight w:hRule="exact" w:val="8801"/>
          <w:jc w:val="center"/>
        </w:trPr>
        <w:tc>
          <w:tcPr>
            <w:tcW w:w="8640" w:type="dxa"/>
            <w:shd w:val="clear" w:color="auto" w:fill="auto"/>
          </w:tcPr>
          <w:p w14:paraId="3D770CF7" w14:textId="4A7F3C9B" w:rsidR="001564A4" w:rsidRPr="00D80FBF" w:rsidRDefault="001564A4" w:rsidP="00D80FBF">
            <w:pPr>
              <w:pStyle w:val="Pa12"/>
              <w:spacing w:line="240" w:lineRule="auto"/>
              <w:rPr>
                <w:rStyle w:val="A4"/>
              </w:rPr>
            </w:pPr>
            <w:r w:rsidRPr="00D80FBF">
              <w:rPr>
                <w:rStyle w:val="A4"/>
                <w:b/>
                <w:bCs/>
              </w:rPr>
              <w:t xml:space="preserve">Introduction/Aim: </w:t>
            </w:r>
            <w:r w:rsidR="007B25F2" w:rsidRPr="00D80FBF">
              <w:rPr>
                <w:sz w:val="22"/>
                <w:szCs w:val="22"/>
              </w:rPr>
              <w:t>Dupilumab reduces asthma exacerbation rates and improves lung function in children (VOYAGE, NCT02948959) and adults/adolescents (QUEST, NCT02414854) with uncontrolled, moderate-to-severe asthma. Previous data have demonstrated that FeNO is a valid prognostic biomarker, a predictor of response to dupilumab.</w:t>
            </w:r>
            <w:r w:rsidR="007B25F2" w:rsidRPr="00D80FBF">
              <w:rPr>
                <w:b/>
                <w:bCs/>
                <w:sz w:val="22"/>
                <w:szCs w:val="22"/>
              </w:rPr>
              <w:t xml:space="preserve"> </w:t>
            </w:r>
            <w:r w:rsidR="007B25F2" w:rsidRPr="00D80FBF">
              <w:rPr>
                <w:sz w:val="22"/>
                <w:szCs w:val="22"/>
              </w:rPr>
              <w:t>The aim of this post hoc analysis was to evaluate the stability of FeNO over time following the American Thoracic Society (ATS) and European Respiratory Society (ERS)</w:t>
            </w:r>
            <w:r w:rsidR="007B25F2" w:rsidRPr="00D80FBF">
              <w:rPr>
                <w:color w:val="000000"/>
                <w:sz w:val="22"/>
                <w:szCs w:val="22"/>
              </w:rPr>
              <w:t xml:space="preserve"> FeNO guidelines,</w:t>
            </w:r>
            <w:r w:rsidR="007B25F2" w:rsidRPr="00D80FBF">
              <w:rPr>
                <w:sz w:val="22"/>
                <w:szCs w:val="22"/>
              </w:rPr>
              <w:t xml:space="preserve"> in placebo patients from the QUEST and VOYAGE studies.</w:t>
            </w:r>
          </w:p>
          <w:p w14:paraId="5029BAE6" w14:textId="62CF6C6B" w:rsidR="001564A4" w:rsidRPr="00D80FBF" w:rsidRDefault="001564A4" w:rsidP="00D80FBF">
            <w:pPr>
              <w:pStyle w:val="Pa12"/>
              <w:spacing w:line="240" w:lineRule="auto"/>
              <w:rPr>
                <w:rStyle w:val="A4"/>
                <w:b/>
                <w:bCs/>
              </w:rPr>
            </w:pPr>
            <w:r w:rsidRPr="00D80FBF">
              <w:rPr>
                <w:rStyle w:val="A4"/>
                <w:b/>
                <w:bCs/>
              </w:rPr>
              <w:t xml:space="preserve">Methods: </w:t>
            </w:r>
            <w:r w:rsidR="007B25F2" w:rsidRPr="00D80FBF">
              <w:rPr>
                <w:sz w:val="22"/>
                <w:szCs w:val="22"/>
              </w:rPr>
              <w:t>FeNO levels were collected in placebo patients from QUEST (≥12 years) and VOYAGE (6–11 years), in non-exacerbating (0 exacerbations) and frequent exacerbator (≥3 exacerbations) subpopulations. Asthma exacerbation was defined as a worsening of asthma that led to hospitalization, emergency medical care, or treatment with systemic corticosteroids.</w:t>
            </w:r>
          </w:p>
          <w:p w14:paraId="68537800" w14:textId="169A0610" w:rsidR="001564A4" w:rsidRPr="00D80FBF" w:rsidRDefault="001564A4" w:rsidP="00D80FBF">
            <w:pPr>
              <w:pStyle w:val="Pa12"/>
              <w:spacing w:line="240" w:lineRule="auto"/>
              <w:rPr>
                <w:rStyle w:val="A4"/>
                <w:b/>
                <w:bCs/>
              </w:rPr>
            </w:pPr>
            <w:r w:rsidRPr="00D80FBF">
              <w:rPr>
                <w:rStyle w:val="A4"/>
                <w:b/>
                <w:bCs/>
              </w:rPr>
              <w:t xml:space="preserve">Results: </w:t>
            </w:r>
            <w:r w:rsidR="007B25F2" w:rsidRPr="00D80FBF">
              <w:rPr>
                <w:sz w:val="22"/>
                <w:szCs w:val="22"/>
              </w:rPr>
              <w:t>For combined placebo patients, median (95% CI) baseline FeNO in non-exacerbators and frequent exacerbators was 25.0 ppb (22.0, 27.0) and 34.0 ppb (27.0, 40.0) in QUEST, and 18.0 ppb (14.0, 21.0) and 48.5 ppb (9.0, 100.0) in VOYAGE, respectively. At Week 24, fold change in FeNO from the previous visit (week 20) was 0.97 (0.91, 1.00) and 1.08 (0.96, 1.16) in non-exacerbators and frequent exacerbators in QUEST, and 1.05 (0.96, 1.25) and 0.66 (0.48, 2.09) in</w:t>
            </w:r>
            <w:r w:rsidR="007B25F2" w:rsidRPr="00D80FBF" w:rsidDel="00C466F2">
              <w:rPr>
                <w:sz w:val="22"/>
                <w:szCs w:val="22"/>
              </w:rPr>
              <w:t xml:space="preserve"> </w:t>
            </w:r>
            <w:r w:rsidR="007B25F2" w:rsidRPr="00D80FBF">
              <w:rPr>
                <w:sz w:val="22"/>
                <w:szCs w:val="22"/>
              </w:rPr>
              <w:t>VOYAGE, respectively. At Week 52, fold change in FeNO from the previous visit was 1.00 ppb (0.96, 1.05) and 1.03 (0.87, 1.25) in non-exacerbators and frequent exacerbators in QUEST, and 0.98 (0.89, 1.09) and 0.74 (0.22, 0.92) in</w:t>
            </w:r>
            <w:r w:rsidR="007B25F2" w:rsidRPr="00D80FBF" w:rsidDel="00C466F2">
              <w:rPr>
                <w:sz w:val="22"/>
                <w:szCs w:val="22"/>
              </w:rPr>
              <w:t xml:space="preserve"> </w:t>
            </w:r>
            <w:r w:rsidR="007B25F2" w:rsidRPr="00D80FBF">
              <w:rPr>
                <w:sz w:val="22"/>
                <w:szCs w:val="22"/>
              </w:rPr>
              <w:t>VOYAGE, respectively.</w:t>
            </w:r>
          </w:p>
          <w:p w14:paraId="652F7BE1" w14:textId="0D1665A7" w:rsidR="001564A4" w:rsidRPr="00D80FBF" w:rsidRDefault="001564A4" w:rsidP="00D80FBF">
            <w:pPr>
              <w:pStyle w:val="Pa12"/>
              <w:spacing w:line="240" w:lineRule="auto"/>
              <w:rPr>
                <w:rStyle w:val="A4"/>
                <w:b/>
                <w:bCs/>
              </w:rPr>
            </w:pPr>
            <w:r w:rsidRPr="00D80FBF">
              <w:rPr>
                <w:rStyle w:val="A4"/>
                <w:b/>
                <w:bCs/>
              </w:rPr>
              <w:t xml:space="preserve">Conclusion: </w:t>
            </w:r>
            <w:r w:rsidR="007B25F2" w:rsidRPr="00D80FBF">
              <w:rPr>
                <w:sz w:val="22"/>
                <w:szCs w:val="22"/>
              </w:rPr>
              <w:t>In QUEST and VOYAGE, FeNO measurements for patients on placebo were stable, with low variability, in between visits among exacerbators and non-exacerbators.</w:t>
            </w:r>
          </w:p>
          <w:p w14:paraId="3E8B4283" w14:textId="7875BB5B" w:rsidR="001564A4" w:rsidRPr="00D80FBF" w:rsidRDefault="001564A4" w:rsidP="00D80FBF">
            <w:pPr>
              <w:pStyle w:val="Pa12"/>
              <w:spacing w:line="240" w:lineRule="auto"/>
              <w:rPr>
                <w:rStyle w:val="A4"/>
                <w:b/>
                <w:bCs/>
              </w:rPr>
            </w:pPr>
            <w:r w:rsidRPr="00D80FBF">
              <w:rPr>
                <w:rStyle w:val="A4"/>
                <w:b/>
                <w:bCs/>
              </w:rPr>
              <w:t xml:space="preserve">Grant Support: </w:t>
            </w:r>
            <w:r w:rsidR="007B25F2" w:rsidRPr="00D80FBF">
              <w:rPr>
                <w:sz w:val="22"/>
                <w:szCs w:val="22"/>
              </w:rPr>
              <w:t>*Presenting on behalf of authors. Data first presented at the American College of Allergy, Asthma &amp; Immunology (ACAAI) annual scientific meeting; Anaheim, CA, USA; November 9-13, 2023. Research sponsored by Sanofi and Regeneron Pharmaceuticals Inc. ClinicalTrials.gov Identifier: NCT02948959, NCT02414854. The authors would like to thank Michelle Choi for the contributions to the original abstract. Medical writing/editorial assistance was provided by Maya Chergova, PhD, of Excerpta Medica, and was funded by Sanofi and Regeneron Pharmaceuticals Inc., according to the</w:t>
            </w:r>
            <w:r w:rsidR="007B25F2" w:rsidRPr="00D80FBF">
              <w:rPr>
                <w:bCs/>
                <w:sz w:val="22"/>
                <w:szCs w:val="22"/>
              </w:rPr>
              <w:t xml:space="preserve"> </w:t>
            </w:r>
            <w:hyperlink r:id="rId7" w:history="1">
              <w:r w:rsidR="007B25F2" w:rsidRPr="00D80FBF">
                <w:rPr>
                  <w:rStyle w:val="Hyperlink"/>
                  <w:bCs/>
                  <w:sz w:val="22"/>
                  <w:szCs w:val="22"/>
                </w:rPr>
                <w:t>Good Publication Practice guideline</w:t>
              </w:r>
            </w:hyperlink>
          </w:p>
          <w:p w14:paraId="7F8381F0" w14:textId="77777777" w:rsidR="001564A4" w:rsidRPr="00D80FBF" w:rsidRDefault="001564A4" w:rsidP="00D80FBF">
            <w:pPr>
              <w:pStyle w:val="Pa12"/>
              <w:spacing w:line="240" w:lineRule="auto"/>
              <w:rPr>
                <w:sz w:val="22"/>
                <w:szCs w:val="22"/>
              </w:rPr>
            </w:pP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r w:rsidRPr="00D80FBF">
              <w:rPr>
                <w:sz w:val="22"/>
                <w:szCs w:val="22"/>
              </w:rPr>
              <w:br/>
            </w:r>
          </w:p>
          <w:p w14:paraId="731CD908" w14:textId="77777777" w:rsidR="001564A4" w:rsidRPr="00D80FBF" w:rsidRDefault="001564A4" w:rsidP="00D80FBF">
            <w:pPr>
              <w:pStyle w:val="Default"/>
              <w:rPr>
                <w:sz w:val="22"/>
                <w:szCs w:val="22"/>
              </w:rPr>
            </w:pPr>
          </w:p>
          <w:p w14:paraId="34BF0A0F" w14:textId="77777777" w:rsidR="001564A4" w:rsidRPr="00D80FBF" w:rsidRDefault="001564A4" w:rsidP="00D80FBF">
            <w:pPr>
              <w:pStyle w:val="Default"/>
              <w:rPr>
                <w:sz w:val="22"/>
                <w:szCs w:val="22"/>
              </w:rPr>
            </w:pPr>
          </w:p>
          <w:p w14:paraId="1FF1A88F" w14:textId="77777777" w:rsidR="001564A4" w:rsidRPr="00D80FBF" w:rsidRDefault="001564A4" w:rsidP="00D80FBF">
            <w:pPr>
              <w:pStyle w:val="Pa12"/>
              <w:spacing w:line="240" w:lineRule="auto"/>
              <w:rPr>
                <w:rStyle w:val="A4"/>
                <w:bCs/>
              </w:rPr>
            </w:pP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r w:rsidRPr="00D80FBF">
              <w:rPr>
                <w:rStyle w:val="A4"/>
                <w:bCs/>
              </w:rPr>
              <w:br/>
            </w:r>
          </w:p>
          <w:p w14:paraId="14DC37E4" w14:textId="77777777" w:rsidR="001564A4" w:rsidRPr="00D80FBF" w:rsidRDefault="001564A4" w:rsidP="00D80FBF">
            <w:pPr>
              <w:pStyle w:val="Default"/>
              <w:rPr>
                <w:rStyle w:val="A4"/>
                <w:bCs/>
              </w:rPr>
            </w:pPr>
          </w:p>
          <w:p w14:paraId="5F58D34F" w14:textId="77777777" w:rsidR="001564A4" w:rsidRPr="00D80FBF" w:rsidRDefault="001564A4" w:rsidP="00D80FBF">
            <w:pPr>
              <w:pStyle w:val="Default"/>
              <w:rPr>
                <w:sz w:val="22"/>
                <w:szCs w:val="22"/>
                <w:lang w:val="en-US" w:eastAsia="en-GB"/>
              </w:rPr>
            </w:pP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r w:rsidRPr="00D80FBF">
              <w:rPr>
                <w:sz w:val="22"/>
                <w:szCs w:val="22"/>
                <w:lang w:val="en-US" w:eastAsia="en-GB"/>
              </w:rPr>
              <w:br/>
            </w:r>
          </w:p>
        </w:tc>
      </w:tr>
    </w:tbl>
    <w:p w14:paraId="30BB275B" w14:textId="16E18CC7" w:rsidR="007B25F2" w:rsidRPr="00D80FBF" w:rsidRDefault="007B25F2" w:rsidP="00D80FBF">
      <w:pPr>
        <w:rPr>
          <w:rFonts w:ascii="Arial" w:hAnsi="Arial" w:cs="Arial"/>
          <w:sz w:val="22"/>
          <w:szCs w:val="22"/>
        </w:rPr>
      </w:pPr>
      <w:r w:rsidRPr="00D80FBF">
        <w:rPr>
          <w:rFonts w:ascii="Arial" w:hAnsi="Arial" w:cs="Arial"/>
          <w:b/>
          <w:bCs/>
          <w:sz w:val="22"/>
          <w:szCs w:val="22"/>
          <w:lang w:val="en-US"/>
        </w:rPr>
        <w:t xml:space="preserve">Key words: </w:t>
      </w:r>
      <w:r w:rsidRPr="00D80FBF">
        <w:rPr>
          <w:rFonts w:ascii="Arial" w:hAnsi="Arial" w:cs="Arial"/>
          <w:sz w:val="22"/>
          <w:szCs w:val="22"/>
        </w:rPr>
        <w:t>Fractional exhaled nitric oxide, biomarker, asthma, exacerbations</w:t>
      </w:r>
    </w:p>
    <w:p w14:paraId="1CD4FE8C" w14:textId="77777777" w:rsidR="00CD3712" w:rsidRPr="00D80FBF" w:rsidRDefault="00CD3712" w:rsidP="00D80FBF">
      <w:pPr>
        <w:rPr>
          <w:rFonts w:ascii="Arial" w:hAnsi="Arial" w:cs="Arial"/>
          <w:sz w:val="22"/>
          <w:szCs w:val="22"/>
        </w:rPr>
      </w:pPr>
    </w:p>
    <w:p w14:paraId="5E079517" w14:textId="77777777" w:rsidR="00CD3712" w:rsidRPr="00D80FBF" w:rsidRDefault="00CD3712" w:rsidP="00D80FBF">
      <w:pPr>
        <w:rPr>
          <w:rFonts w:ascii="Arial" w:hAnsi="Arial" w:cs="Arial"/>
          <w:b/>
          <w:bCs/>
          <w:sz w:val="22"/>
          <w:szCs w:val="22"/>
          <w:lang w:val="en-US"/>
        </w:rPr>
      </w:pPr>
    </w:p>
    <w:p w14:paraId="63EF761C" w14:textId="77777777" w:rsidR="00CD3712" w:rsidRPr="00D80FBF" w:rsidRDefault="00CD3712" w:rsidP="00D80FBF">
      <w:pPr>
        <w:spacing w:after="120"/>
        <w:rPr>
          <w:rFonts w:ascii="Arial" w:hAnsi="Arial" w:cs="Arial"/>
          <w:sz w:val="22"/>
          <w:szCs w:val="22"/>
        </w:rPr>
      </w:pPr>
      <w:r w:rsidRPr="00D80FBF">
        <w:rPr>
          <w:rFonts w:ascii="Arial" w:hAnsi="Arial" w:cs="Arial"/>
          <w:b/>
          <w:bCs/>
          <w:sz w:val="22"/>
          <w:szCs w:val="22"/>
        </w:rPr>
        <w:lastRenderedPageBreak/>
        <w:t xml:space="preserve">Conflicts of interest: J Lee: </w:t>
      </w:r>
      <w:r w:rsidRPr="00D80FBF">
        <w:rPr>
          <w:rFonts w:ascii="Arial" w:hAnsi="Arial" w:cs="Arial"/>
          <w:sz w:val="22"/>
          <w:szCs w:val="22"/>
        </w:rPr>
        <w:t>has received speaker fees from Boehringer Ingelheim, GlaxoSmithKline, AstraZeneca and Sanofi.</w:t>
      </w:r>
      <w:r w:rsidRPr="00D80FBF">
        <w:rPr>
          <w:rFonts w:ascii="Arial" w:hAnsi="Arial" w:cs="Arial"/>
          <w:b/>
          <w:bCs/>
          <w:sz w:val="22"/>
          <w:szCs w:val="22"/>
        </w:rPr>
        <w:t xml:space="preserve"> Busse WW:</w:t>
      </w:r>
      <w:r w:rsidRPr="00D80FBF">
        <w:rPr>
          <w:rFonts w:ascii="Arial" w:hAnsi="Arial" w:cs="Arial"/>
          <w:sz w:val="22"/>
          <w:szCs w:val="22"/>
        </w:rPr>
        <w:t xml:space="preserve"> GSK, Novartis, Sanofi, – consultant, speaker fees. </w:t>
      </w:r>
      <w:r w:rsidRPr="00D80FBF">
        <w:rPr>
          <w:rFonts w:ascii="Arial" w:hAnsi="Arial" w:cs="Arial"/>
          <w:b/>
          <w:bCs/>
          <w:sz w:val="22"/>
          <w:szCs w:val="22"/>
        </w:rPr>
        <w:t xml:space="preserve">Pavord ID: </w:t>
      </w:r>
      <w:r w:rsidRPr="00D80FBF">
        <w:rPr>
          <w:rFonts w:ascii="Arial" w:hAnsi="Arial" w:cs="Arial"/>
          <w:color w:val="000000"/>
          <w:sz w:val="22"/>
          <w:szCs w:val="22"/>
          <w:shd w:val="clear" w:color="auto" w:fill="FFFFFF"/>
        </w:rPr>
        <w:t>AstraZeneca, Boehringer Ingelheim, Chiesi, Circassia, Dey Pharma, Genentech, GSK, Knopp Biosciences, Merck, Merck Sharp &amp; Dohme, Napp Pharmaceuticals, Novartis, Regeneron Pharmaceuticals Inc., RespiVert, Sanofi, Schering-Plough, Teva – consultant fees; AstraZeneca, Boehringer Ingelheim, Chiesi, GSK, Napp Pharmaceuticals, Teva – international scientific meeting sponsorship; Chiesi – research grant.</w:t>
      </w:r>
      <w:r w:rsidRPr="00D80FBF">
        <w:rPr>
          <w:rFonts w:ascii="Arial" w:hAnsi="Arial" w:cs="Arial"/>
          <w:b/>
          <w:bCs/>
          <w:sz w:val="22"/>
          <w:szCs w:val="22"/>
        </w:rPr>
        <w:t xml:space="preserve"> Wechsler ME</w:t>
      </w:r>
      <w:r w:rsidRPr="00D80FBF">
        <w:rPr>
          <w:rFonts w:ascii="Arial" w:hAnsi="Arial" w:cs="Arial"/>
          <w:b/>
          <w:bCs/>
          <w:color w:val="000000"/>
          <w:sz w:val="22"/>
          <w:szCs w:val="22"/>
        </w:rPr>
        <w:t xml:space="preserve">: </w:t>
      </w:r>
      <w:r w:rsidRPr="00D80FBF">
        <w:rPr>
          <w:rFonts w:ascii="Arial" w:hAnsi="Arial" w:cs="Arial"/>
          <w:color w:val="000000"/>
          <w:sz w:val="22"/>
          <w:szCs w:val="22"/>
          <w:shd w:val="clear" w:color="auto" w:fill="FFFFFF"/>
        </w:rPr>
        <w:t>AstraZeneca, Boehringer Ingelheim, Equillium, Gala Therapeutics, Genentech, Mylan, Novartis, Pulmatrix, Regeneron Pharmaceuticals Inc., resTORbio, Sentien Biotechnologies, Teva – personal fees; GSK, Sanofi – grants and personal fees</w:t>
      </w:r>
      <w:r w:rsidRPr="00D80FBF">
        <w:rPr>
          <w:rFonts w:ascii="Arial" w:hAnsi="Arial" w:cs="Arial"/>
          <w:b/>
          <w:bCs/>
          <w:sz w:val="22"/>
          <w:szCs w:val="22"/>
        </w:rPr>
        <w:t>. Davila IJ</w:t>
      </w:r>
      <w:r w:rsidRPr="00D80FBF">
        <w:rPr>
          <w:rFonts w:ascii="Arial" w:hAnsi="Arial" w:cs="Arial"/>
          <w:b/>
          <w:bCs/>
          <w:color w:val="000000"/>
          <w:sz w:val="22"/>
          <w:szCs w:val="22"/>
        </w:rPr>
        <w:t xml:space="preserve">: </w:t>
      </w:r>
      <w:r w:rsidRPr="00D80FBF">
        <w:rPr>
          <w:rFonts w:ascii="Arial" w:hAnsi="Arial" w:cs="Arial"/>
          <w:color w:val="000000"/>
          <w:sz w:val="22"/>
          <w:szCs w:val="22"/>
        </w:rPr>
        <w:t xml:space="preserve">Allergy Therapeutics, AstraZeneca, Chiesi, Diater, GSK, Leti, Novartis, Sanofi – speaker fees; Allergy Therapeutics, ALK-Abello, AstraZeneca, GSK, Merck, MSD, Novartis, Sanofi – consultant fees; Thermo Fisher Diagnostics, ISCIII, Junta de Castilla y León – grants. </w:t>
      </w:r>
      <w:r w:rsidRPr="00D80FBF">
        <w:rPr>
          <w:rFonts w:ascii="Arial" w:hAnsi="Arial" w:cs="Arial"/>
          <w:b/>
          <w:bCs/>
          <w:sz w:val="22"/>
          <w:szCs w:val="22"/>
        </w:rPr>
        <w:t>Altincatal A, Moody J</w:t>
      </w:r>
      <w:r w:rsidRPr="00D80FBF">
        <w:rPr>
          <w:rFonts w:ascii="Arial" w:hAnsi="Arial" w:cs="Arial"/>
          <w:sz w:val="22"/>
          <w:szCs w:val="22"/>
        </w:rPr>
        <w:t xml:space="preserve">, </w:t>
      </w:r>
      <w:r w:rsidRPr="00D80FBF">
        <w:rPr>
          <w:rFonts w:ascii="Arial" w:hAnsi="Arial" w:cs="Arial"/>
          <w:b/>
          <w:bCs/>
          <w:color w:val="000000"/>
          <w:sz w:val="22"/>
          <w:szCs w:val="22"/>
        </w:rPr>
        <w:t>Hardin M</w:t>
      </w:r>
      <w:r w:rsidRPr="00D80FBF">
        <w:rPr>
          <w:rFonts w:ascii="Arial" w:hAnsi="Arial" w:cs="Arial"/>
          <w:bCs/>
          <w:sz w:val="22"/>
          <w:szCs w:val="22"/>
        </w:rPr>
        <w:t xml:space="preserve">: </w:t>
      </w:r>
      <w:r w:rsidRPr="00D80FBF">
        <w:rPr>
          <w:rFonts w:ascii="Arial" w:hAnsi="Arial" w:cs="Arial"/>
          <w:sz w:val="22"/>
          <w:szCs w:val="22"/>
        </w:rPr>
        <w:t xml:space="preserve">Sanofi − employees, may hold stock and/or stock options in the company. </w:t>
      </w:r>
      <w:r w:rsidRPr="00D80FBF">
        <w:rPr>
          <w:rFonts w:ascii="Arial" w:hAnsi="Arial" w:cs="Arial"/>
          <w:b/>
          <w:bCs/>
          <w:sz w:val="22"/>
          <w:szCs w:val="22"/>
        </w:rPr>
        <w:t>Soler X</w:t>
      </w:r>
      <w:r w:rsidRPr="00D80FBF">
        <w:rPr>
          <w:rFonts w:ascii="Arial" w:hAnsi="Arial" w:cs="Arial"/>
          <w:b/>
          <w:sz w:val="22"/>
          <w:szCs w:val="22"/>
        </w:rPr>
        <w:t xml:space="preserve">: </w:t>
      </w:r>
      <w:r w:rsidRPr="00D80FBF">
        <w:rPr>
          <w:rFonts w:ascii="Arial" w:hAnsi="Arial" w:cs="Arial"/>
          <w:sz w:val="22"/>
          <w:szCs w:val="22"/>
        </w:rPr>
        <w:t xml:space="preserve">Regeneron Pharmaceuticals Inc. − employee and shareholder. </w:t>
      </w:r>
    </w:p>
    <w:p w14:paraId="7C36A9DC" w14:textId="32A70617" w:rsidR="00E0700F" w:rsidRPr="00C35258" w:rsidRDefault="00E0700F" w:rsidP="001564A4">
      <w:pPr>
        <w:rPr>
          <w:rFonts w:ascii="Arial" w:hAnsi="Arial" w:cs="Arial"/>
          <w:sz w:val="22"/>
          <w:szCs w:val="22"/>
        </w:rPr>
      </w:pPr>
    </w:p>
    <w:sectPr w:rsidR="00E0700F" w:rsidRPr="00C35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5F6283"/>
    <w:rsid w:val="007B25F2"/>
    <w:rsid w:val="008803FA"/>
    <w:rsid w:val="00B12E32"/>
    <w:rsid w:val="00C35258"/>
    <w:rsid w:val="00CC209A"/>
    <w:rsid w:val="00CD3712"/>
    <w:rsid w:val="00D80FBF"/>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uiPriority w:val="34"/>
    <w:qFormat/>
    <w:rsid w:val="007B25F2"/>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B2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cpjournals.org/doi/10.7326/M22-14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Chloe Clarke (Excerpta Medica)</cp:lastModifiedBy>
  <cp:revision>7</cp:revision>
  <dcterms:created xsi:type="dcterms:W3CDTF">2023-10-17T10:54:00Z</dcterms:created>
  <dcterms:modified xsi:type="dcterms:W3CDTF">2023-10-18T11:32:00Z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