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92C5A2C" w:rsidR="001564A4" w:rsidRPr="001973D6" w:rsidRDefault="00A068AA" w:rsidP="001973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Te Oranga Pukahukahu: What implementation factors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are </w:t>
            </w:r>
            <w:r w:rsidRPr="00A06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important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for</w:t>
            </w:r>
            <w:r w:rsidRPr="00A068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developing a Māori led approach to lung cancer screening?</w:t>
            </w:r>
          </w:p>
        </w:tc>
      </w:tr>
      <w:tr w:rsidR="001564A4" w:rsidRPr="0050053A" w14:paraId="0E2E035C" w14:textId="77777777" w:rsidTr="00EE2835">
        <w:trPr>
          <w:trHeight w:val="1033"/>
          <w:jc w:val="center"/>
        </w:trPr>
        <w:tc>
          <w:tcPr>
            <w:tcW w:w="8640" w:type="dxa"/>
            <w:shd w:val="clear" w:color="auto" w:fill="auto"/>
          </w:tcPr>
          <w:p w14:paraId="73B55295" w14:textId="4BFC6271" w:rsidR="001564A4" w:rsidRPr="009562A4" w:rsidRDefault="001973D6" w:rsidP="009562A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Kate Parker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Karen Bartholomew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Tayla Schaapveld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Grace Steel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Anne Fraser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Billie Davis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Donna Enoka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Peter Sandiford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Chris Lewis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David Milne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Mark McKeage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Rawiri McKree Jansen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Kwun Fong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3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Henry Marshall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3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Martin Tammemägi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4</w:t>
            </w:r>
            <w:r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Nicole M. Rankin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5</w:t>
            </w:r>
            <w:r w:rsid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, </w:t>
            </w:r>
            <w:r w:rsidR="00A068AA" w:rsidRPr="009562A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Sue Crengle</w:t>
            </w:r>
            <w:r w:rsidR="00EE283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en-GB"/>
              </w:rPr>
              <w:t>6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BD815D8" w14:textId="5F0D5383" w:rsidR="001564A4" w:rsidRPr="0050053A" w:rsidRDefault="00A068AA" w:rsidP="009562A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22B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Te Whatu Ora – Health New Zealand</w:t>
            </w:r>
            <w:r w:rsidR="00AB20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Aotearoa New Zealand</w:t>
            </w:r>
            <w:r w:rsidR="000B1B2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1973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1564A4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4E4E6FDD" w14:textId="77777777" w:rsidR="00EE2835" w:rsidRDefault="00A068AA" w:rsidP="009562A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208A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C6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Te Aka Whai Ora: Māori Health Authority</w:t>
            </w:r>
            <w:r w:rsidR="00AB20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Aotearoa New Zealand</w:t>
            </w:r>
          </w:p>
          <w:p w14:paraId="06898C61" w14:textId="038FAB9E" w:rsidR="00780D99" w:rsidRDefault="00EE2835" w:rsidP="009562A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DC6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10000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</w:t>
            </w:r>
            <w:r w:rsidR="00CD6FC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of Queensland</w:t>
            </w:r>
            <w:r w:rsidR="0010000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Prince Charles Hospital</w:t>
            </w:r>
            <w:r w:rsidR="00CD6FC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10000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Queensland</w:t>
            </w:r>
            <w:r w:rsidR="00CD6FC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10000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  <w:p w14:paraId="4B82A431" w14:textId="1542B890" w:rsidR="001564A4" w:rsidRDefault="00EE2835" w:rsidP="009562A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CD6FCB" w:rsidRPr="00780D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780D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Emeritus Professor, Brock University, </w:t>
            </w:r>
            <w:r w:rsidR="00F600B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Ontario, Canada</w:t>
            </w:r>
          </w:p>
          <w:p w14:paraId="65254B9E" w14:textId="4B295A1C" w:rsidR="00F600B7" w:rsidRDefault="00EE2835" w:rsidP="009562A4">
            <w:pPr>
              <w:pStyle w:val="Heading5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  <w:vertAlign w:val="superscript"/>
                <w:lang w:val="en-US"/>
              </w:rPr>
              <w:t>5</w:t>
            </w:r>
            <w:r w:rsidR="001E2D36" w:rsidRPr="001E2D36">
              <w:rPr>
                <w:b w:val="0"/>
                <w:bCs w:val="0"/>
              </w:rPr>
              <w:t xml:space="preserve"> </w:t>
            </w:r>
            <w:r w:rsidR="001E2D36" w:rsidRPr="001E2D36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US"/>
              </w:rPr>
              <w:t>Melbourne School of Population and Global Health</w:t>
            </w:r>
            <w:r w:rsidR="001E2D36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US"/>
              </w:rPr>
              <w:t xml:space="preserve">, </w:t>
            </w:r>
            <w:r w:rsidR="009562A4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US"/>
              </w:rPr>
              <w:t>University of Melbourne, Victoria, Australia</w:t>
            </w:r>
            <w:r w:rsidR="001E2D36" w:rsidRPr="001E2D36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US"/>
              </w:rPr>
              <w:t xml:space="preserve"> </w:t>
            </w:r>
          </w:p>
          <w:p w14:paraId="45ED36BF" w14:textId="7B76AC40" w:rsidR="00A068AA" w:rsidRPr="00EE2835" w:rsidRDefault="00EE2835" w:rsidP="00EE2835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A068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Ngāi Tahu Māori Health Research Unit, Division of Health Sciences, University of Otago, Aotearoa New Zealand</w:t>
            </w:r>
          </w:p>
        </w:tc>
      </w:tr>
      <w:tr w:rsidR="001564A4" w:rsidRPr="0050053A" w14:paraId="6DAF615A" w14:textId="77777777" w:rsidTr="00EE2835">
        <w:trPr>
          <w:trHeight w:hRule="exact" w:val="9317"/>
          <w:jc w:val="center"/>
        </w:trPr>
        <w:tc>
          <w:tcPr>
            <w:tcW w:w="8640" w:type="dxa"/>
            <w:shd w:val="clear" w:color="auto" w:fill="auto"/>
          </w:tcPr>
          <w:p w14:paraId="2355EB9E" w14:textId="0BC099E6" w:rsidR="00A068AA" w:rsidRDefault="001564A4" w:rsidP="00A068AA">
            <w:pPr>
              <w:pStyle w:val="Pa12"/>
              <w:rPr>
                <w:color w:val="000000"/>
                <w:sz w:val="22"/>
                <w:szCs w:val="22"/>
                <w:lang w:eastAsia="en-GB"/>
              </w:rPr>
            </w:pPr>
            <w:r w:rsidRPr="001973D6">
              <w:rPr>
                <w:rStyle w:val="A4"/>
                <w:b/>
                <w:bCs/>
              </w:rPr>
              <w:t xml:space="preserve">Introduction/Aim: </w:t>
            </w:r>
            <w:r w:rsidR="00A068AA">
              <w:rPr>
                <w:rStyle w:val="A4"/>
                <w:b/>
                <w:bCs/>
              </w:rPr>
              <w:t xml:space="preserve"> </w:t>
            </w:r>
            <w:r w:rsidR="00A068AA" w:rsidRPr="00A068AA">
              <w:rPr>
                <w:color w:val="000000"/>
                <w:sz w:val="22"/>
                <w:szCs w:val="22"/>
                <w:lang w:eastAsia="en-GB"/>
              </w:rPr>
              <w:t xml:space="preserve">In Aotearoa New Zealand (ANZ), lung cancer (LC) is the greatest contributor to inequity in mortality for Māori compared to NZ European/Other. Lung cancer screening (LCS) using low dose CT demonstrates significant mortality reductions, however, no population-based testing of LCS has been conducted in ANZ, and internationally there are no studies which focus on equity or Indigenous people. </w:t>
            </w:r>
          </w:p>
          <w:p w14:paraId="7B8109AD" w14:textId="4387582A" w:rsidR="00A068AA" w:rsidRPr="00A068AA" w:rsidRDefault="00A068AA" w:rsidP="00A068AA">
            <w:pPr>
              <w:pStyle w:val="Pa12"/>
              <w:rPr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color w:val="000000"/>
                <w:sz w:val="22"/>
                <w:szCs w:val="22"/>
                <w:lang w:eastAsia="en-GB"/>
              </w:rPr>
              <w:t xml:space="preserve">Although the primary focus for this study is on testing invitation strategies (see separate abstract), the effectiveness of LCS pathways has not been determined for any </w:t>
            </w:r>
            <w:r>
              <w:rPr>
                <w:color w:val="000000"/>
                <w:sz w:val="22"/>
                <w:szCs w:val="22"/>
                <w:lang w:eastAsia="en-GB"/>
              </w:rPr>
              <w:t>I</w:t>
            </w:r>
            <w:r w:rsidRPr="00A068AA">
              <w:rPr>
                <w:color w:val="000000"/>
                <w:sz w:val="22"/>
                <w:szCs w:val="22"/>
                <w:lang w:eastAsia="en-GB"/>
              </w:rPr>
              <w:t>ndigenous population, hence we also test the assumptions and study processes relevant to the implementation of lung cancer screening in ANZ.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>Method</w:t>
            </w:r>
            <w:r w:rsidR="001564A4">
              <w:rPr>
                <w:rStyle w:val="A4"/>
                <w:b/>
                <w:bCs/>
              </w:rPr>
              <w:t>s</w:t>
            </w:r>
            <w:r w:rsidR="001564A4" w:rsidRPr="0050053A">
              <w:rPr>
                <w:rStyle w:val="A4"/>
                <w:b/>
                <w:bCs/>
              </w:rPr>
              <w:t xml:space="preserve">: </w:t>
            </w:r>
            <w:r>
              <w:rPr>
                <w:rStyle w:val="A4"/>
                <w:b/>
                <w:bCs/>
              </w:rPr>
              <w:t xml:space="preserve"> </w:t>
            </w:r>
            <w:r w:rsidRPr="00A068AA">
              <w:rPr>
                <w:color w:val="000000"/>
                <w:sz w:val="22"/>
                <w:szCs w:val="22"/>
                <w:lang w:eastAsia="en-GB"/>
              </w:rPr>
              <w:t>We assessed our approach using established implementation frameworks 1,2,3. Whānau support was welcome in all parts of the process. Participants and whanau were invited to provide feedback through a post participation survey regarding</w:t>
            </w:r>
            <w:r w:rsidR="00022143">
              <w:rPr>
                <w:color w:val="000000"/>
                <w:sz w:val="22"/>
                <w:szCs w:val="22"/>
                <w:lang w:eastAsia="en-GB"/>
              </w:rPr>
              <w:t>:</w:t>
            </w:r>
            <w:r w:rsidRPr="00A068AA">
              <w:rPr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14:paraId="205D276A" w14:textId="05AC110F" w:rsidR="00A068AA" w:rsidRPr="00A068AA" w:rsidRDefault="00A068AA" w:rsidP="00A06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The experience of LCS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;</w:t>
            </w: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0BDC0D6" w14:textId="3517107E" w:rsidR="00A068AA" w:rsidRPr="00A068AA" w:rsidRDefault="00A068AA" w:rsidP="00A06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The acceptability of shared decision making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/</w:t>
            </w: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results management processes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;</w:t>
            </w:r>
          </w:p>
          <w:p w14:paraId="61C24031" w14:textId="067D0817" w:rsidR="00A068AA" w:rsidRPr="00A068AA" w:rsidRDefault="00A068AA" w:rsidP="00A06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The participant burden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568E60E6" w14:textId="2EC4E44E" w:rsidR="00A068AA" w:rsidRPr="00A068AA" w:rsidRDefault="001564A4" w:rsidP="00A068A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1973D6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A068AA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A068AA"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To date we have invited 1984 participants to compete a risk assessment. 890 participants underwent RA and 53% (471) were eligible for a CT scan. 442 (94%) agreed to CT scan. Survey participation rates were 55% (240/439) for participants having a CT scan, 29% (122/419) for those undergoing RA but who weren’t eligible for a CT scan and 27% (4/15) for those eligible for CT who decided not to proceed. </w:t>
            </w:r>
          </w:p>
          <w:p w14:paraId="033167F9" w14:textId="7F72EFB6" w:rsidR="001564A4" w:rsidRDefault="00A068AA" w:rsidP="00A068A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068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Most participants were happy to take part while others felt anxious. 97% of participants remembered the study nurse explaining the risks and benefits when deciding whether to have a CT scan and 87% of participants felt that this discussion helped them to take part. All participants felt comfortable when talking to the nurse or doctor. </w:t>
            </w:r>
            <w:r w:rsidR="00A07DF7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528F888" w14:textId="45179C0B" w:rsidR="00A068AA" w:rsidRPr="00A068AA" w:rsidRDefault="00A068AA" w:rsidP="00A068AA">
            <w:pPr>
              <w:rPr>
                <w:rStyle w:val="A4"/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/>
                <w:bCs/>
              </w:rPr>
              <w:t>Conclusion</w:t>
            </w:r>
            <w:r w:rsidRPr="001973D6">
              <w:rPr>
                <w:rStyle w:val="A4"/>
                <w:rFonts w:ascii="Arial" w:hAnsi="Arial" w:cs="Arial"/>
                <w:b/>
                <w:bCs/>
              </w:rPr>
              <w:t xml:space="preserve">: </w:t>
            </w:r>
            <w:r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Pr="00A068AA">
              <w:rPr>
                <w:rStyle w:val="A4"/>
                <w:rFonts w:ascii="Arial" w:hAnsi="Arial" w:cs="Arial"/>
              </w:rPr>
              <w:t>Most respondents were positive regarding their experience, with some suggestions for improvement provided.</w:t>
            </w:r>
          </w:p>
          <w:p w14:paraId="7DCEA401" w14:textId="6BD24425" w:rsidR="00EE2835" w:rsidRDefault="001564A4" w:rsidP="00EE2835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323A89" w:rsidRPr="00323A89">
              <w:rPr>
                <w:rStyle w:val="A4"/>
              </w:rPr>
              <w:t>Global Alliance for Chronic Disease and Health Research Council of New Zealan</w:t>
            </w:r>
            <w:r w:rsidR="00A068AA">
              <w:rPr>
                <w:rStyle w:val="A4"/>
              </w:rPr>
              <w:t>d</w:t>
            </w:r>
          </w:p>
          <w:p w14:paraId="7C8D3F91" w14:textId="77777777" w:rsidR="00EE2835" w:rsidRPr="00EE2835" w:rsidRDefault="00EE2835" w:rsidP="00EE2835">
            <w:pPr>
              <w:pStyle w:val="Default"/>
            </w:pPr>
          </w:p>
          <w:p w14:paraId="4BC4C5F4" w14:textId="37619D38" w:rsidR="00A068AA" w:rsidRPr="00A068AA" w:rsidRDefault="00A068AA" w:rsidP="00A068AA">
            <w:pPr>
              <w:pStyle w:val="ListParagraph"/>
              <w:numPr>
                <w:ilvl w:val="3"/>
                <w:numId w:val="3"/>
              </w:numPr>
              <w:spacing w:after="160" w:line="259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A068AA">
              <w:rPr>
                <w:rFonts w:ascii="Arial" w:hAnsi="Arial" w:cs="Arial"/>
                <w:sz w:val="16"/>
                <w:szCs w:val="16"/>
              </w:rPr>
              <w:t xml:space="preserve">Landes, S. J., McBain, S. A., &amp; Curran, G. M. </w:t>
            </w:r>
            <w:r w:rsidR="000E3482" w:rsidRPr="00A068AA">
              <w:rPr>
                <w:rFonts w:ascii="Arial" w:hAnsi="Arial" w:cs="Arial"/>
                <w:sz w:val="16"/>
                <w:szCs w:val="16"/>
              </w:rPr>
              <w:t>Psychiatry research</w:t>
            </w:r>
            <w:r w:rsidR="000E3482" w:rsidRPr="00A068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68AA">
              <w:rPr>
                <w:rFonts w:ascii="Arial" w:hAnsi="Arial" w:cs="Arial"/>
                <w:sz w:val="16"/>
                <w:szCs w:val="16"/>
              </w:rPr>
              <w:t>2020</w:t>
            </w:r>
            <w:r w:rsidR="000E3482">
              <w:rPr>
                <w:rFonts w:ascii="Arial" w:hAnsi="Arial" w:cs="Arial"/>
                <w:sz w:val="16"/>
                <w:szCs w:val="16"/>
              </w:rPr>
              <w:t>,</w:t>
            </w:r>
            <w:r w:rsidRPr="00A068AA">
              <w:rPr>
                <w:rFonts w:ascii="Arial" w:hAnsi="Arial" w:cs="Arial"/>
                <w:sz w:val="16"/>
                <w:szCs w:val="16"/>
              </w:rPr>
              <w:t>.283</w:t>
            </w:r>
            <w:r w:rsidR="000E34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482" w:rsidRPr="000E3482">
              <w:rPr>
                <w:rFonts w:ascii="Arial" w:hAnsi="Arial" w:cs="Arial"/>
                <w:sz w:val="16"/>
                <w:szCs w:val="16"/>
              </w:rPr>
              <w:t>112630</w:t>
            </w:r>
          </w:p>
          <w:p w14:paraId="56EAF795" w14:textId="115D73FB" w:rsidR="00A068AA" w:rsidRPr="00A068AA" w:rsidRDefault="00A068AA" w:rsidP="00A068AA">
            <w:pPr>
              <w:pStyle w:val="ListParagraph"/>
              <w:numPr>
                <w:ilvl w:val="3"/>
                <w:numId w:val="3"/>
              </w:numPr>
              <w:spacing w:after="160" w:line="259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A068AA">
              <w:rPr>
                <w:rFonts w:ascii="Arial" w:hAnsi="Arial" w:cs="Arial"/>
                <w:sz w:val="16"/>
                <w:szCs w:val="16"/>
              </w:rPr>
              <w:t xml:space="preserve">Glasgow, R. E., Vogt, T. M., &amp; Boles, S. M. </w:t>
            </w:r>
            <w:r w:rsidR="000E3482" w:rsidRPr="00A068AA">
              <w:rPr>
                <w:rFonts w:ascii="Arial" w:hAnsi="Arial" w:cs="Arial"/>
                <w:sz w:val="16"/>
                <w:szCs w:val="16"/>
              </w:rPr>
              <w:t>American journal of public health</w:t>
            </w:r>
            <w:r w:rsidR="000E3482">
              <w:rPr>
                <w:rFonts w:ascii="Arial" w:hAnsi="Arial" w:cs="Arial"/>
                <w:sz w:val="16"/>
                <w:szCs w:val="16"/>
              </w:rPr>
              <w:t xml:space="preserve"> 1999</w:t>
            </w:r>
            <w:r w:rsidR="000E3482" w:rsidRPr="00A068AA">
              <w:rPr>
                <w:rFonts w:ascii="Arial" w:hAnsi="Arial" w:cs="Arial"/>
                <w:sz w:val="16"/>
                <w:szCs w:val="16"/>
              </w:rPr>
              <w:t>, 89(9), 1322-1327</w:t>
            </w:r>
          </w:p>
          <w:p w14:paraId="251AEA43" w14:textId="3360E5A3" w:rsidR="00A068AA" w:rsidRPr="000E3482" w:rsidRDefault="00A068AA" w:rsidP="00A068AA">
            <w:pPr>
              <w:pStyle w:val="ListParagraph"/>
              <w:numPr>
                <w:ilvl w:val="3"/>
                <w:numId w:val="3"/>
              </w:numPr>
              <w:spacing w:after="160" w:line="259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A068AA">
              <w:rPr>
                <w:rFonts w:ascii="Arial" w:hAnsi="Arial" w:cs="Arial"/>
                <w:sz w:val="16"/>
                <w:szCs w:val="16"/>
              </w:rPr>
              <w:t>Oetzel J, Scott N, Hudson M, et al. Globalization and Health 2017</w:t>
            </w:r>
            <w:r w:rsidR="000E3482">
              <w:rPr>
                <w:rFonts w:ascii="Arial" w:hAnsi="Arial" w:cs="Arial"/>
                <w:sz w:val="16"/>
                <w:szCs w:val="16"/>
              </w:rPr>
              <w:t>, 1</w:t>
            </w:r>
            <w:r w:rsidRPr="00A068AA">
              <w:rPr>
                <w:rFonts w:ascii="Arial" w:hAnsi="Arial" w:cs="Arial"/>
                <w:sz w:val="16"/>
                <w:szCs w:val="16"/>
              </w:rPr>
              <w:t xml:space="preserve">3(1) </w:t>
            </w:r>
            <w:r w:rsidR="000E3482">
              <w:rPr>
                <w:rFonts w:ascii="Arial" w:hAnsi="Arial" w:cs="Arial"/>
                <w:sz w:val="16"/>
                <w:szCs w:val="16"/>
              </w:rPr>
              <w:t>1-13</w:t>
            </w:r>
          </w:p>
          <w:p w14:paraId="5F58D34F" w14:textId="13AB1395" w:rsidR="00A068AA" w:rsidRPr="00A068AA" w:rsidRDefault="00A068AA" w:rsidP="00A068AA">
            <w:pPr>
              <w:pStyle w:val="Default"/>
            </w:pP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5AD1"/>
    <w:multiLevelType w:val="hybridMultilevel"/>
    <w:tmpl w:val="8EE8E31E"/>
    <w:numStyleLink w:val="ImportedStyle6"/>
  </w:abstractNum>
  <w:abstractNum w:abstractNumId="1" w15:restartNumberingAfterBreak="0">
    <w:nsid w:val="3CA70764"/>
    <w:multiLevelType w:val="hybridMultilevel"/>
    <w:tmpl w:val="8EE8E31E"/>
    <w:styleLink w:val="ImportedStyle6"/>
    <w:lvl w:ilvl="0" w:tplc="B8646D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E0AA8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CFF1C">
      <w:start w:val="1"/>
      <w:numFmt w:val="lowerRoman"/>
      <w:lvlText w:val="%3."/>
      <w:lvlJc w:val="left"/>
      <w:pPr>
        <w:ind w:left="216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8067F0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880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10000C">
      <w:start w:val="1"/>
      <w:numFmt w:val="lowerRoman"/>
      <w:lvlText w:val="%6."/>
      <w:lvlJc w:val="left"/>
      <w:pPr>
        <w:ind w:left="432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D0A6A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6B42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1C4484">
      <w:start w:val="1"/>
      <w:numFmt w:val="lowerRoman"/>
      <w:lvlText w:val="%9."/>
      <w:lvlJc w:val="left"/>
      <w:pPr>
        <w:ind w:left="648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FA3D13"/>
    <w:multiLevelType w:val="hybridMultilevel"/>
    <w:tmpl w:val="887A32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263955">
    <w:abstractNumId w:val="2"/>
  </w:num>
  <w:num w:numId="2" w16cid:durableId="341981481">
    <w:abstractNumId w:val="1"/>
  </w:num>
  <w:num w:numId="3" w16cid:durableId="56572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2143"/>
    <w:rsid w:val="000325C9"/>
    <w:rsid w:val="000536F1"/>
    <w:rsid w:val="00071763"/>
    <w:rsid w:val="000949C2"/>
    <w:rsid w:val="000B1B29"/>
    <w:rsid w:val="000E3482"/>
    <w:rsid w:val="00100002"/>
    <w:rsid w:val="001564A4"/>
    <w:rsid w:val="001973D6"/>
    <w:rsid w:val="001E2D36"/>
    <w:rsid w:val="002B66BC"/>
    <w:rsid w:val="00323A89"/>
    <w:rsid w:val="003B0FFF"/>
    <w:rsid w:val="003C2F3B"/>
    <w:rsid w:val="003F53DE"/>
    <w:rsid w:val="0051574E"/>
    <w:rsid w:val="005208A6"/>
    <w:rsid w:val="005B64C6"/>
    <w:rsid w:val="00711ED9"/>
    <w:rsid w:val="00780D99"/>
    <w:rsid w:val="007903EA"/>
    <w:rsid w:val="00802D96"/>
    <w:rsid w:val="00822B00"/>
    <w:rsid w:val="008643B5"/>
    <w:rsid w:val="008803FA"/>
    <w:rsid w:val="009562A4"/>
    <w:rsid w:val="00A068AA"/>
    <w:rsid w:val="00A07DF7"/>
    <w:rsid w:val="00AB204C"/>
    <w:rsid w:val="00B12E32"/>
    <w:rsid w:val="00B85A2A"/>
    <w:rsid w:val="00C17A59"/>
    <w:rsid w:val="00C20270"/>
    <w:rsid w:val="00C769A4"/>
    <w:rsid w:val="00C82CD0"/>
    <w:rsid w:val="00CD6BF2"/>
    <w:rsid w:val="00CD6FCB"/>
    <w:rsid w:val="00D2191D"/>
    <w:rsid w:val="00DC6F8E"/>
    <w:rsid w:val="00E0700F"/>
    <w:rsid w:val="00EA519E"/>
    <w:rsid w:val="00EE2835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E2D36"/>
    <w:pPr>
      <w:spacing w:before="100" w:beforeAutospacing="1" w:after="100" w:afterAutospacing="1"/>
      <w:outlineLvl w:val="4"/>
    </w:pPr>
    <w:rPr>
      <w:b/>
      <w:bCs/>
      <w:sz w:val="20"/>
      <w:szCs w:val="20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1E2D36"/>
    <w:rPr>
      <w:rFonts w:ascii="Times New Roman" w:eastAsia="Times New Roman" w:hAnsi="Times New Roman" w:cs="Times New Roman"/>
      <w:b/>
      <w:bCs/>
      <w:lang w:eastAsia="en-GB"/>
    </w:rPr>
  </w:style>
  <w:style w:type="paragraph" w:styleId="ListParagraph">
    <w:name w:val="List Paragraph"/>
    <w:aliases w:val="List Paragraph numbered,List Paragraph1,List Bullet indent,Body,Level 3,Rec para,List 1,Other List,Bullet List,FooterText,numbered,Paragraphe de liste1,Bulletr List Paragraph,列出段落,列出段落1,Listeafsnit1,Parágrafo da Lista1,List Paragraph2"/>
    <w:basedOn w:val="Normal"/>
    <w:link w:val="ListParagraphChar"/>
    <w:uiPriority w:val="34"/>
    <w:qFormat/>
    <w:rsid w:val="00A068AA"/>
    <w:pPr>
      <w:ind w:left="720"/>
      <w:contextualSpacing/>
    </w:pPr>
  </w:style>
  <w:style w:type="character" w:customStyle="1" w:styleId="ListParagraphChar">
    <w:name w:val="List Paragraph Char"/>
    <w:aliases w:val="List Paragraph numbered Char,List Paragraph1 Char,List Bullet indent Char,Body Char,Level 3 Char,Rec para Char,List 1 Char,Other List Char,Bullet List Char,FooterText Char,numbered Char,Paragraphe de liste1 Char,列出段落 Char,列出段落1 Char"/>
    <w:link w:val="ListParagraph"/>
    <w:uiPriority w:val="34"/>
    <w:locked/>
    <w:rsid w:val="00A068AA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ImportedStyle6">
    <w:name w:val="Imported Style 6"/>
    <w:rsid w:val="00A068A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Kate Parker (WDHB)</cp:lastModifiedBy>
  <cp:revision>4</cp:revision>
  <dcterms:created xsi:type="dcterms:W3CDTF">2023-10-18T21:07:00Z</dcterms:created>
  <dcterms:modified xsi:type="dcterms:W3CDTF">2023-10-19T00:40:00Z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