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114EC5D" w:rsidR="001564A4" w:rsidRPr="0050053A" w:rsidRDefault="00022782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2278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Cumulative dispensing of oral corticosteroids over 12 months in  COPD</w:t>
            </w:r>
            <w:bookmarkStart w:id="0" w:name="_GoBack"/>
            <w:bookmarkEnd w:id="0"/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49EA9597" w:rsidR="001564A4" w:rsidRPr="00625E1C" w:rsidRDefault="00814E36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>Angela T Burge</w:t>
            </w:r>
            <w:r w:rsidR="001564A4" w:rsidRPr="00625E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1" w:name="Text8"/>
            <w:r w:rsidR="001564A4"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1"/>
            <w:r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Narelle S Cox</w:t>
            </w:r>
            <w:r w:rsidR="00B739D4" w:rsidRPr="00625E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AC455A" w:rsidRPr="00625E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Simone Dal Corso</w:t>
            </w:r>
            <w:r w:rsidR="00B739D4" w:rsidRPr="00625E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Arwel Jones</w:t>
            </w:r>
            <w:r w:rsidR="00B739D4" w:rsidRPr="00625E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625E1C" w:rsidRPr="00625E1C">
              <w:rPr>
                <w:rFonts w:ascii="Arial" w:hAnsi="Arial" w:cs="Arial"/>
                <w:bCs/>
                <w:sz w:val="22"/>
                <w:szCs w:val="22"/>
              </w:rPr>
              <w:t>Fahrayhansyah</w:t>
            </w:r>
            <w:proofErr w:type="spellEnd"/>
            <w:r w:rsidR="00625E1C" w:rsidRPr="00625E1C">
              <w:rPr>
                <w:rFonts w:ascii="Arial" w:hAnsi="Arial" w:cs="Arial"/>
                <w:bCs/>
                <w:spacing w:val="-6"/>
                <w:sz w:val="22"/>
                <w:szCs w:val="22"/>
              </w:rPr>
              <w:t xml:space="preserve"> </w:t>
            </w:r>
            <w:r w:rsidR="00625E1C" w:rsidRPr="00625E1C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625E1C" w:rsidRPr="00625E1C">
              <w:rPr>
                <w:rFonts w:ascii="Arial" w:hAnsi="Arial" w:cs="Arial"/>
                <w:bCs/>
                <w:spacing w:val="-5"/>
                <w:sz w:val="22"/>
                <w:szCs w:val="22"/>
              </w:rPr>
              <w:t xml:space="preserve"> </w:t>
            </w:r>
            <w:r w:rsidR="00625E1C" w:rsidRPr="00625E1C">
              <w:rPr>
                <w:rFonts w:ascii="Arial" w:hAnsi="Arial" w:cs="Arial"/>
                <w:bCs/>
                <w:sz w:val="22"/>
                <w:szCs w:val="22"/>
              </w:rPr>
              <w:t>Faqih</w:t>
            </w:r>
            <w:r w:rsidR="00625E1C" w:rsidRPr="00625E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25E1C"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Pr="00625E1C">
              <w:rPr>
                <w:rFonts w:ascii="Arial" w:hAnsi="Arial" w:cs="Arial"/>
                <w:sz w:val="22"/>
                <w:szCs w:val="22"/>
                <w:lang w:val="en-US" w:eastAsia="en-GB"/>
              </w:rPr>
              <w:t>Anne E Holland</w:t>
            </w:r>
            <w:r w:rsidR="00B739D4" w:rsidRPr="00625E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AC455A" w:rsidRPr="00625E1C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2,3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0D1C4B9A" w:rsidR="001564A4" w:rsidRPr="00B739D4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739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Central Clinical School, Monash University, VIC, Australia</w:t>
            </w:r>
          </w:p>
          <w:p w14:paraId="3D9794A3" w14:textId="137C25BB" w:rsidR="00AC455A" w:rsidRPr="00261113" w:rsidRDefault="001564A4" w:rsidP="00B739D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C455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Institute for Breathing and Sleep, VIC, Australia</w:t>
            </w:r>
          </w:p>
          <w:p w14:paraId="45ED36BF" w14:textId="1E413925" w:rsidR="001564A4" w:rsidRPr="0050053A" w:rsidRDefault="00AC455A" w:rsidP="00B739D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739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Medicine, Alfred Health, VIC, Australia </w:t>
            </w:r>
          </w:p>
        </w:tc>
      </w:tr>
      <w:tr w:rsidR="001564A4" w:rsidRPr="0050053A" w14:paraId="6DAF615A" w14:textId="77777777" w:rsidTr="00627A89">
        <w:trPr>
          <w:trHeight w:hRule="exact" w:val="7663"/>
          <w:jc w:val="center"/>
        </w:trPr>
        <w:tc>
          <w:tcPr>
            <w:tcW w:w="8640" w:type="dxa"/>
            <w:shd w:val="clear" w:color="auto" w:fill="auto"/>
          </w:tcPr>
          <w:p w14:paraId="739E7937" w14:textId="02A13BAD" w:rsidR="001564A4" w:rsidRPr="0069765D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EC71B6">
              <w:rPr>
                <w:rStyle w:val="A4"/>
                <w:bCs/>
              </w:rPr>
              <w:t>Use of o</w:t>
            </w:r>
            <w:r w:rsidR="00814E36">
              <w:rPr>
                <w:rStyle w:val="A4"/>
                <w:bCs/>
              </w:rPr>
              <w:t xml:space="preserve">ral corticosteroids </w:t>
            </w:r>
            <w:r w:rsidR="00261D74">
              <w:rPr>
                <w:rStyle w:val="A4"/>
                <w:bCs/>
              </w:rPr>
              <w:t xml:space="preserve">(OCS) </w:t>
            </w:r>
            <w:r w:rsidR="00EC71B6">
              <w:rPr>
                <w:rStyle w:val="A4"/>
                <w:bCs/>
              </w:rPr>
              <w:t>is</w:t>
            </w:r>
            <w:r w:rsidR="00814E36">
              <w:rPr>
                <w:rStyle w:val="A4"/>
                <w:bCs/>
              </w:rPr>
              <w:t xml:space="preserve"> </w:t>
            </w:r>
            <w:r w:rsidR="00261D74">
              <w:rPr>
                <w:rStyle w:val="A4"/>
                <w:bCs/>
              </w:rPr>
              <w:t xml:space="preserve">an effective treatment </w:t>
            </w:r>
            <w:r w:rsidR="00EC71B6">
              <w:rPr>
                <w:rStyle w:val="A4"/>
                <w:bCs/>
              </w:rPr>
              <w:t>recommended for management of exacerbations in people with COPD</w:t>
            </w:r>
            <w:r w:rsidR="00261D74">
              <w:rPr>
                <w:rStyle w:val="A4"/>
                <w:bCs/>
              </w:rPr>
              <w:t xml:space="preserve">; however, </w:t>
            </w:r>
            <w:r w:rsidR="00241727">
              <w:rPr>
                <w:rStyle w:val="A4"/>
                <w:bCs/>
              </w:rPr>
              <w:t xml:space="preserve">high </w:t>
            </w:r>
            <w:r w:rsidR="00AC1D2E">
              <w:rPr>
                <w:rStyle w:val="A4"/>
                <w:bCs/>
              </w:rPr>
              <w:t xml:space="preserve">cumulative </w:t>
            </w:r>
            <w:r w:rsidR="006341B5">
              <w:rPr>
                <w:rStyle w:val="A4"/>
                <w:bCs/>
              </w:rPr>
              <w:t xml:space="preserve">lifetime </w:t>
            </w:r>
            <w:r w:rsidR="00241727">
              <w:rPr>
                <w:rStyle w:val="A4"/>
                <w:bCs/>
              </w:rPr>
              <w:t>doses (</w:t>
            </w:r>
            <w:r w:rsidR="002F319A">
              <w:rPr>
                <w:sz w:val="22"/>
                <w:szCs w:val="22"/>
              </w:rPr>
              <w:t>≥</w:t>
            </w:r>
            <w:r w:rsidR="00241727">
              <w:rPr>
                <w:rStyle w:val="A4"/>
                <w:bCs/>
              </w:rPr>
              <w:t>1000mg prednisolone-equivalent) are</w:t>
            </w:r>
            <w:r w:rsidR="00261D74">
              <w:rPr>
                <w:rStyle w:val="A4"/>
                <w:bCs/>
              </w:rPr>
              <w:t xml:space="preserve"> </w:t>
            </w:r>
            <w:r w:rsidR="00261D74" w:rsidRPr="0069765D">
              <w:rPr>
                <w:rStyle w:val="A4"/>
                <w:bCs/>
              </w:rPr>
              <w:t>associated with serious</w:t>
            </w:r>
            <w:r w:rsidR="00AC1D2E" w:rsidRPr="0069765D">
              <w:rPr>
                <w:rStyle w:val="A4"/>
                <w:bCs/>
              </w:rPr>
              <w:t xml:space="preserve"> adverse</w:t>
            </w:r>
            <w:r w:rsidR="00261D74" w:rsidRPr="0069765D">
              <w:rPr>
                <w:rStyle w:val="A4"/>
                <w:bCs/>
              </w:rPr>
              <w:t xml:space="preserve"> health effects. The </w:t>
            </w:r>
            <w:r w:rsidR="00B739D4" w:rsidRPr="0069765D">
              <w:rPr>
                <w:rStyle w:val="A4"/>
                <w:bCs/>
              </w:rPr>
              <w:t>importance</w:t>
            </w:r>
            <w:r w:rsidR="00261D74" w:rsidRPr="0069765D">
              <w:rPr>
                <w:rStyle w:val="A4"/>
                <w:bCs/>
              </w:rPr>
              <w:t xml:space="preserve"> of this issue is well defined in asthma, but is less well understood in COPD. The aim of this study was to examine cumulative </w:t>
            </w:r>
            <w:r w:rsidR="00241727" w:rsidRPr="0069765D">
              <w:rPr>
                <w:rStyle w:val="A4"/>
                <w:bCs/>
              </w:rPr>
              <w:t>dispensing</w:t>
            </w:r>
            <w:r w:rsidR="00261D74" w:rsidRPr="0069765D">
              <w:rPr>
                <w:rStyle w:val="A4"/>
                <w:bCs/>
              </w:rPr>
              <w:t xml:space="preserve"> of OCS in people with COPD in the 12 months following pulmonary rehabilitation</w:t>
            </w:r>
            <w:r w:rsidR="00AC455A" w:rsidRPr="0069765D">
              <w:rPr>
                <w:rStyle w:val="A4"/>
                <w:bCs/>
              </w:rPr>
              <w:t>.</w:t>
            </w:r>
          </w:p>
          <w:p w14:paraId="5029BAE6" w14:textId="61AA17EE" w:rsidR="001564A4" w:rsidRPr="0069765D" w:rsidRDefault="001564A4" w:rsidP="000A28E2">
            <w:pPr>
              <w:pStyle w:val="Pa12"/>
              <w:rPr>
                <w:rStyle w:val="A4"/>
                <w:bCs/>
              </w:rPr>
            </w:pPr>
            <w:r w:rsidRPr="0069765D">
              <w:rPr>
                <w:rStyle w:val="A4"/>
                <w:b/>
                <w:bCs/>
              </w:rPr>
              <w:t xml:space="preserve">Methods: </w:t>
            </w:r>
            <w:r w:rsidR="00261D74" w:rsidRPr="0069765D">
              <w:rPr>
                <w:rStyle w:val="A4"/>
                <w:bCs/>
              </w:rPr>
              <w:t>This retrospective study used Pharmaceutical Benefits Scheme data for people with a confirmed diagnosis of COPD</w:t>
            </w:r>
            <w:r w:rsidR="00241727" w:rsidRPr="0069765D">
              <w:rPr>
                <w:rStyle w:val="A4"/>
                <w:bCs/>
              </w:rPr>
              <w:t xml:space="preserve"> for 12 months following</w:t>
            </w:r>
            <w:r w:rsidR="00261D74" w:rsidRPr="0069765D">
              <w:rPr>
                <w:rStyle w:val="A4"/>
                <w:bCs/>
              </w:rPr>
              <w:t xml:space="preserve"> pulmonary rehabilitation. </w:t>
            </w:r>
          </w:p>
          <w:p w14:paraId="68537800" w14:textId="42D0F70A" w:rsidR="001564A4" w:rsidRPr="0069765D" w:rsidRDefault="001564A4" w:rsidP="0069765D">
            <w:pPr>
              <w:rPr>
                <w:rStyle w:val="A4"/>
                <w:rFonts w:ascii="Arial" w:hAnsi="Arial" w:cs="Arial"/>
                <w:color w:val="FF0000"/>
              </w:rPr>
            </w:pPr>
            <w:r w:rsidRPr="0069765D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>Data for</w:t>
            </w:r>
            <w:r w:rsidR="00241727" w:rsidRPr="0069765D">
              <w:rPr>
                <w:rStyle w:val="A4"/>
                <w:rFonts w:ascii="Arial" w:hAnsi="Arial" w:cs="Arial"/>
                <w:b/>
                <w:bCs/>
              </w:rPr>
              <w:t xml:space="preserve"> </w:t>
            </w:r>
            <w:r w:rsidR="00261D74" w:rsidRPr="0069765D">
              <w:rPr>
                <w:rStyle w:val="A4"/>
                <w:rFonts w:ascii="Arial" w:hAnsi="Arial" w:cs="Arial"/>
                <w:bCs/>
              </w:rPr>
              <w:t>232 participants (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 xml:space="preserve">126 females, </w:t>
            </w:r>
            <w:r w:rsidR="00261D74" w:rsidRPr="0069765D">
              <w:rPr>
                <w:rStyle w:val="A4"/>
                <w:rFonts w:ascii="Arial" w:hAnsi="Arial" w:cs="Arial"/>
                <w:bCs/>
              </w:rPr>
              <w:t xml:space="preserve">age mean 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>68</w:t>
            </w:r>
            <w:r w:rsidR="00B739D4" w:rsidRPr="0069765D">
              <w:rPr>
                <w:rStyle w:val="A4"/>
                <w:rFonts w:ascii="Arial" w:hAnsi="Arial" w:cs="Arial"/>
                <w:bCs/>
              </w:rPr>
              <w:t>±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>SD 9 years, FEV</w:t>
            </w:r>
            <w:r w:rsidR="00241727" w:rsidRPr="0069765D">
              <w:rPr>
                <w:rStyle w:val="A4"/>
                <w:rFonts w:ascii="Arial" w:hAnsi="Arial" w:cs="Arial"/>
                <w:bCs/>
                <w:vertAlign w:val="subscript"/>
              </w:rPr>
              <w:t>1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 xml:space="preserve"> 53</w:t>
            </w:r>
            <w:r w:rsidR="00B739D4" w:rsidRPr="0069765D">
              <w:rPr>
                <w:rStyle w:val="A4"/>
                <w:rFonts w:ascii="Arial" w:hAnsi="Arial" w:cs="Arial"/>
                <w:bCs/>
              </w:rPr>
              <w:t>±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>22</w:t>
            </w:r>
            <w:r w:rsidR="00AC455A" w:rsidRPr="0069765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>%predicted) demonstrated that 52% (n=120) were not dispensed OCS over 12 months</w:t>
            </w:r>
            <w:r w:rsidR="0069765D" w:rsidRPr="0069765D">
              <w:rPr>
                <w:rStyle w:val="A4"/>
                <w:rFonts w:ascii="Arial" w:hAnsi="Arial" w:cs="Arial"/>
                <w:bCs/>
              </w:rPr>
              <w:t>.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 xml:space="preserve"> 26% (n=6</w:t>
            </w:r>
            <w:r w:rsidR="0069765D" w:rsidRPr="0069765D">
              <w:rPr>
                <w:rStyle w:val="A4"/>
                <w:rFonts w:ascii="Arial" w:hAnsi="Arial" w:cs="Arial"/>
                <w:bCs/>
              </w:rPr>
              <w:t>2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 xml:space="preserve">) </w:t>
            </w:r>
            <w:r w:rsidR="0069765D" w:rsidRPr="0069765D">
              <w:rPr>
                <w:rStyle w:val="A4"/>
                <w:rFonts w:ascii="Arial" w:hAnsi="Arial" w:cs="Arial"/>
                <w:bCs/>
              </w:rPr>
              <w:t xml:space="preserve">of participants </w:t>
            </w:r>
            <w:r w:rsidR="00241727" w:rsidRPr="0069765D">
              <w:rPr>
                <w:rStyle w:val="A4"/>
                <w:rFonts w:ascii="Arial" w:hAnsi="Arial" w:cs="Arial"/>
                <w:bCs/>
              </w:rPr>
              <w:t xml:space="preserve">were dispensed </w:t>
            </w:r>
            <w:r w:rsidR="00241727" w:rsidRPr="0069765D">
              <w:rPr>
                <w:rFonts w:ascii="Arial" w:hAnsi="Arial" w:cs="Arial"/>
                <w:sz w:val="22"/>
                <w:szCs w:val="22"/>
              </w:rPr>
              <w:t>≥1000mg</w:t>
            </w:r>
            <w:r w:rsidR="0069765D" w:rsidRPr="0069765D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9765D" w:rsidRPr="0069765D">
              <w:rPr>
                <w:rFonts w:ascii="Arial" w:hAnsi="Arial" w:cs="Arial"/>
                <w:bCs/>
                <w:sz w:val="22"/>
                <w:szCs w:val="22"/>
              </w:rPr>
              <w:t xml:space="preserve">11% (n=7) were dispensed </w:t>
            </w:r>
            <w:r w:rsidR="0069765D" w:rsidRPr="0069765D">
              <w:rPr>
                <w:rFonts w:ascii="Arial" w:hAnsi="Arial" w:cs="Arial"/>
                <w:sz w:val="22"/>
                <w:szCs w:val="22"/>
              </w:rPr>
              <w:t>≥1000mg</w:t>
            </w:r>
            <w:r w:rsidR="0069765D" w:rsidRPr="0069765D">
              <w:rPr>
                <w:rFonts w:ascii="Arial" w:hAnsi="Arial" w:cs="Arial"/>
                <w:bCs/>
                <w:sz w:val="22"/>
                <w:szCs w:val="22"/>
              </w:rPr>
              <w:t xml:space="preserve"> within the first month</w:t>
            </w:r>
            <w:r w:rsidR="00A759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27A89">
              <w:rPr>
                <w:rFonts w:ascii="Arial" w:hAnsi="Arial" w:cs="Arial"/>
                <w:bCs/>
                <w:sz w:val="22"/>
                <w:szCs w:val="22"/>
              </w:rPr>
              <w:t>of the 12-month study period</w:t>
            </w:r>
            <w:r w:rsidR="0069765D" w:rsidRPr="0069765D">
              <w:rPr>
                <w:rFonts w:ascii="Arial" w:hAnsi="Arial" w:cs="Arial"/>
                <w:bCs/>
                <w:sz w:val="22"/>
                <w:szCs w:val="22"/>
              </w:rPr>
              <w:t xml:space="preserve"> and 63% (n=39) were dispensed </w:t>
            </w:r>
            <w:r w:rsidR="0069765D" w:rsidRPr="0069765D">
              <w:rPr>
                <w:rFonts w:ascii="Arial" w:hAnsi="Arial" w:cs="Arial"/>
                <w:sz w:val="22"/>
                <w:szCs w:val="22"/>
              </w:rPr>
              <w:t>≥1000mg</w:t>
            </w:r>
            <w:r w:rsidR="0069765D" w:rsidRPr="0069765D">
              <w:rPr>
                <w:rFonts w:ascii="Arial" w:hAnsi="Arial" w:cs="Arial"/>
                <w:bCs/>
                <w:sz w:val="22"/>
                <w:szCs w:val="22"/>
              </w:rPr>
              <w:t xml:space="preserve"> within </w:t>
            </w:r>
            <w:r w:rsidR="00627A89">
              <w:rPr>
                <w:rFonts w:ascii="Arial" w:hAnsi="Arial" w:cs="Arial"/>
                <w:bCs/>
                <w:sz w:val="22"/>
                <w:szCs w:val="22"/>
              </w:rPr>
              <w:t xml:space="preserve">the first </w:t>
            </w:r>
            <w:r w:rsidR="0069765D" w:rsidRPr="0069765D">
              <w:rPr>
                <w:rFonts w:ascii="Arial" w:hAnsi="Arial" w:cs="Arial"/>
                <w:bCs/>
                <w:sz w:val="22"/>
                <w:szCs w:val="22"/>
              </w:rPr>
              <w:t xml:space="preserve">six months. </w:t>
            </w:r>
            <w:r w:rsidR="00241727" w:rsidRPr="0069765D">
              <w:rPr>
                <w:rFonts w:ascii="Arial" w:hAnsi="Arial" w:cs="Arial"/>
                <w:sz w:val="22"/>
                <w:szCs w:val="22"/>
              </w:rPr>
              <w:t>For participants dispensed ≥</w:t>
            </w:r>
            <w:r w:rsidR="006341B5" w:rsidRPr="0069765D">
              <w:rPr>
                <w:rFonts w:ascii="Arial" w:hAnsi="Arial" w:cs="Arial"/>
                <w:sz w:val="22"/>
                <w:szCs w:val="22"/>
              </w:rPr>
              <w:t>1000</w:t>
            </w:r>
            <w:r w:rsidR="00241727" w:rsidRPr="0069765D">
              <w:rPr>
                <w:rFonts w:ascii="Arial" w:hAnsi="Arial" w:cs="Arial"/>
                <w:sz w:val="22"/>
                <w:szCs w:val="22"/>
              </w:rPr>
              <w:t>mg, 4</w:t>
            </w:r>
            <w:r w:rsidR="006341B5" w:rsidRPr="0069765D">
              <w:rPr>
                <w:rFonts w:ascii="Arial" w:hAnsi="Arial" w:cs="Arial"/>
                <w:sz w:val="22"/>
                <w:szCs w:val="22"/>
              </w:rPr>
              <w:t>3</w:t>
            </w:r>
            <w:r w:rsidR="00241727" w:rsidRPr="0069765D">
              <w:rPr>
                <w:rFonts w:ascii="Arial" w:hAnsi="Arial" w:cs="Arial"/>
                <w:sz w:val="22"/>
                <w:szCs w:val="22"/>
              </w:rPr>
              <w:t>% (n=</w:t>
            </w:r>
            <w:r w:rsidR="006341B5" w:rsidRPr="0069765D">
              <w:rPr>
                <w:rFonts w:ascii="Arial" w:hAnsi="Arial" w:cs="Arial"/>
                <w:sz w:val="22"/>
                <w:szCs w:val="22"/>
              </w:rPr>
              <w:t>26</w:t>
            </w:r>
            <w:r w:rsidR="00241727" w:rsidRPr="0069765D">
              <w:rPr>
                <w:rFonts w:ascii="Arial" w:hAnsi="Arial" w:cs="Arial"/>
                <w:sz w:val="22"/>
                <w:szCs w:val="22"/>
              </w:rPr>
              <w:t xml:space="preserve">) were </w:t>
            </w:r>
            <w:r w:rsidR="00AC455A" w:rsidRPr="0069765D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241727" w:rsidRPr="0069765D">
              <w:rPr>
                <w:rFonts w:ascii="Arial" w:hAnsi="Arial" w:cs="Arial"/>
                <w:sz w:val="22"/>
                <w:szCs w:val="22"/>
              </w:rPr>
              <w:t xml:space="preserve">dispensed adequate inhaled corticosteroids (dose sufficient for ≥300 days) </w:t>
            </w:r>
            <w:r w:rsidR="001A618A" w:rsidRPr="0069765D">
              <w:rPr>
                <w:rFonts w:ascii="Arial" w:hAnsi="Arial" w:cs="Arial"/>
                <w:sz w:val="22"/>
                <w:szCs w:val="22"/>
              </w:rPr>
              <w:t xml:space="preserve">for ongoing management </w:t>
            </w:r>
            <w:r w:rsidR="00241727" w:rsidRPr="0069765D">
              <w:rPr>
                <w:rFonts w:ascii="Arial" w:hAnsi="Arial" w:cs="Arial"/>
                <w:sz w:val="22"/>
                <w:szCs w:val="22"/>
              </w:rPr>
              <w:t>over the same period.</w:t>
            </w:r>
            <w:r w:rsidR="00D42659" w:rsidRPr="006976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5853" w:rsidRPr="0069765D">
              <w:rPr>
                <w:rFonts w:ascii="Arial" w:hAnsi="Arial" w:cs="Arial"/>
                <w:sz w:val="22"/>
                <w:szCs w:val="22"/>
              </w:rPr>
              <w:t xml:space="preserve">For participants who were dispensed OCS more than once, </w:t>
            </w:r>
            <w:r w:rsidR="006341B5" w:rsidRPr="0069765D">
              <w:rPr>
                <w:rFonts w:ascii="Arial" w:hAnsi="Arial" w:cs="Arial"/>
                <w:sz w:val="22"/>
                <w:szCs w:val="22"/>
              </w:rPr>
              <w:t>88%</w:t>
            </w:r>
            <w:r w:rsidR="000A5853" w:rsidRPr="0069765D">
              <w:rPr>
                <w:rFonts w:ascii="Arial" w:hAnsi="Arial" w:cs="Arial"/>
                <w:sz w:val="22"/>
                <w:szCs w:val="22"/>
              </w:rPr>
              <w:t xml:space="preserve"> (n=56</w:t>
            </w:r>
            <w:r w:rsidR="006341B5" w:rsidRPr="0069765D">
              <w:rPr>
                <w:rFonts w:ascii="Arial" w:hAnsi="Arial" w:cs="Arial"/>
                <w:sz w:val="22"/>
                <w:szCs w:val="22"/>
              </w:rPr>
              <w:t>/64</w:t>
            </w:r>
            <w:r w:rsidR="000A5853" w:rsidRPr="0069765D">
              <w:rPr>
                <w:rFonts w:ascii="Arial" w:hAnsi="Arial" w:cs="Arial"/>
                <w:sz w:val="22"/>
                <w:szCs w:val="22"/>
              </w:rPr>
              <w:t xml:space="preserve">) were dispensed OCS again within 90 days. </w:t>
            </w:r>
            <w:r w:rsidR="00D42659" w:rsidRPr="0069765D">
              <w:rPr>
                <w:rFonts w:ascii="Arial" w:hAnsi="Arial" w:cs="Arial"/>
                <w:sz w:val="22"/>
                <w:szCs w:val="22"/>
              </w:rPr>
              <w:t>Overall, 44% of OCS scripts (180/405) were dispensed within 0-1 day of prescription and were a higher dose (median 750</w:t>
            </w:r>
            <w:r w:rsidR="00B739D4" w:rsidRPr="0069765D">
              <w:rPr>
                <w:rFonts w:ascii="Arial" w:hAnsi="Arial" w:cs="Arial"/>
                <w:sz w:val="22"/>
                <w:szCs w:val="22"/>
              </w:rPr>
              <w:t>±</w:t>
            </w:r>
            <w:r w:rsidR="00D42659" w:rsidRPr="0069765D">
              <w:rPr>
                <w:rFonts w:ascii="Arial" w:hAnsi="Arial" w:cs="Arial"/>
                <w:sz w:val="22"/>
                <w:szCs w:val="22"/>
              </w:rPr>
              <w:t>IQR 300-750</w:t>
            </w:r>
            <w:r w:rsidR="0069765D">
              <w:rPr>
                <w:rFonts w:ascii="Arial" w:hAnsi="Arial" w:cs="Arial"/>
                <w:sz w:val="22"/>
                <w:szCs w:val="22"/>
              </w:rPr>
              <w:t>mg</w:t>
            </w:r>
            <w:r w:rsidR="00D42659" w:rsidRPr="0069765D">
              <w:rPr>
                <w:rFonts w:ascii="Arial" w:hAnsi="Arial" w:cs="Arial"/>
                <w:sz w:val="22"/>
                <w:szCs w:val="22"/>
              </w:rPr>
              <w:t>) compared to scripts filled 2 or more days after prescription (</w:t>
            </w:r>
            <w:r w:rsidR="0022797F" w:rsidRPr="0069765D">
              <w:rPr>
                <w:rFonts w:ascii="Arial" w:hAnsi="Arial" w:cs="Arial"/>
                <w:sz w:val="22"/>
                <w:szCs w:val="22"/>
              </w:rPr>
              <w:t xml:space="preserve">median </w:t>
            </w:r>
            <w:r w:rsidR="00D42659" w:rsidRPr="0069765D">
              <w:rPr>
                <w:rFonts w:ascii="Arial" w:hAnsi="Arial" w:cs="Arial"/>
                <w:sz w:val="22"/>
                <w:szCs w:val="22"/>
              </w:rPr>
              <w:t>300</w:t>
            </w:r>
            <w:r w:rsidR="00B739D4" w:rsidRPr="0069765D">
              <w:rPr>
                <w:rFonts w:ascii="Arial" w:hAnsi="Arial" w:cs="Arial"/>
                <w:sz w:val="22"/>
                <w:szCs w:val="22"/>
              </w:rPr>
              <w:t>±</w:t>
            </w:r>
            <w:r w:rsidR="0022797F" w:rsidRPr="0069765D">
              <w:rPr>
                <w:rFonts w:ascii="Arial" w:hAnsi="Arial" w:cs="Arial"/>
                <w:sz w:val="22"/>
                <w:szCs w:val="22"/>
              </w:rPr>
              <w:t xml:space="preserve">IQR </w:t>
            </w:r>
            <w:r w:rsidR="00D42659" w:rsidRPr="0069765D">
              <w:rPr>
                <w:rFonts w:ascii="Arial" w:hAnsi="Arial" w:cs="Arial"/>
                <w:sz w:val="22"/>
                <w:szCs w:val="22"/>
              </w:rPr>
              <w:t>300-750</w:t>
            </w:r>
            <w:r w:rsidR="0069765D">
              <w:rPr>
                <w:rFonts w:ascii="Arial" w:hAnsi="Arial" w:cs="Arial"/>
                <w:sz w:val="22"/>
                <w:szCs w:val="22"/>
              </w:rPr>
              <w:t>mg</w:t>
            </w:r>
            <w:r w:rsidR="00D42659" w:rsidRPr="0069765D">
              <w:rPr>
                <w:rFonts w:ascii="Arial" w:hAnsi="Arial" w:cs="Arial"/>
                <w:sz w:val="22"/>
                <w:szCs w:val="22"/>
              </w:rPr>
              <w:t xml:space="preserve">; p=0.001). </w:t>
            </w:r>
            <w:r w:rsidR="000A5853" w:rsidRPr="0069765D">
              <w:rPr>
                <w:rFonts w:ascii="Arial" w:hAnsi="Arial" w:cs="Arial"/>
                <w:sz w:val="22"/>
                <w:szCs w:val="22"/>
              </w:rPr>
              <w:t xml:space="preserve">Of participants with relevant comorbidities, 36% of participants with diabetes </w:t>
            </w:r>
            <w:r w:rsidR="001373AA" w:rsidRPr="0069765D">
              <w:rPr>
                <w:rFonts w:ascii="Arial" w:hAnsi="Arial" w:cs="Arial"/>
                <w:sz w:val="22"/>
                <w:szCs w:val="22"/>
              </w:rPr>
              <w:t>(</w:t>
            </w:r>
            <w:r w:rsidR="003A41F9">
              <w:rPr>
                <w:rFonts w:ascii="Arial" w:hAnsi="Arial" w:cs="Arial"/>
                <w:sz w:val="22"/>
                <w:szCs w:val="22"/>
              </w:rPr>
              <w:t>n=</w:t>
            </w:r>
            <w:r w:rsidR="001373AA" w:rsidRPr="0069765D">
              <w:rPr>
                <w:rFonts w:ascii="Arial" w:hAnsi="Arial" w:cs="Arial"/>
                <w:sz w:val="22"/>
                <w:szCs w:val="22"/>
              </w:rPr>
              <w:t xml:space="preserve">14/25) </w:t>
            </w:r>
            <w:r w:rsidR="000A5853" w:rsidRPr="0069765D">
              <w:rPr>
                <w:rFonts w:ascii="Arial" w:hAnsi="Arial" w:cs="Arial"/>
                <w:sz w:val="22"/>
                <w:szCs w:val="22"/>
              </w:rPr>
              <w:t xml:space="preserve">and 40% of participants with osteoporosis </w:t>
            </w:r>
            <w:r w:rsidR="001373AA" w:rsidRPr="0069765D">
              <w:rPr>
                <w:rFonts w:ascii="Arial" w:hAnsi="Arial" w:cs="Arial"/>
                <w:sz w:val="22"/>
                <w:szCs w:val="22"/>
              </w:rPr>
              <w:t>(</w:t>
            </w:r>
            <w:r w:rsidR="003A41F9">
              <w:rPr>
                <w:rFonts w:ascii="Arial" w:hAnsi="Arial" w:cs="Arial"/>
                <w:sz w:val="22"/>
                <w:szCs w:val="22"/>
              </w:rPr>
              <w:t>n=</w:t>
            </w:r>
            <w:r w:rsidR="001373AA" w:rsidRPr="0069765D">
              <w:rPr>
                <w:rFonts w:ascii="Arial" w:hAnsi="Arial" w:cs="Arial"/>
                <w:sz w:val="22"/>
                <w:szCs w:val="22"/>
              </w:rPr>
              <w:t xml:space="preserve">19/35) </w:t>
            </w:r>
            <w:r w:rsidR="000A5853" w:rsidRPr="0069765D">
              <w:rPr>
                <w:rFonts w:ascii="Arial" w:hAnsi="Arial" w:cs="Arial"/>
                <w:sz w:val="22"/>
                <w:szCs w:val="22"/>
              </w:rPr>
              <w:t>were dispensed ≥1000mg over 12 months.</w:t>
            </w:r>
          </w:p>
          <w:p w14:paraId="196E7BAC" w14:textId="1D906D29" w:rsidR="001564A4" w:rsidRPr="0069765D" w:rsidRDefault="001564A4" w:rsidP="000A28E2">
            <w:pPr>
              <w:pStyle w:val="Pa12"/>
              <w:rPr>
                <w:rStyle w:val="A4"/>
                <w:bCs/>
              </w:rPr>
            </w:pPr>
            <w:r w:rsidRPr="0069765D">
              <w:rPr>
                <w:rStyle w:val="A4"/>
                <w:b/>
                <w:bCs/>
              </w:rPr>
              <w:t xml:space="preserve">Conclusion: </w:t>
            </w:r>
            <w:r w:rsidR="00B739D4" w:rsidRPr="0069765D">
              <w:rPr>
                <w:rStyle w:val="A4"/>
                <w:bCs/>
              </w:rPr>
              <w:t>People with COPD who ha</w:t>
            </w:r>
            <w:r w:rsidR="003A41F9">
              <w:rPr>
                <w:rStyle w:val="A4"/>
                <w:bCs/>
              </w:rPr>
              <w:t>ve</w:t>
            </w:r>
            <w:r w:rsidR="00B739D4" w:rsidRPr="0069765D">
              <w:rPr>
                <w:rStyle w:val="A4"/>
                <w:bCs/>
              </w:rPr>
              <w:t xml:space="preserve"> undertaken pulmonary rehabilitation were dispensed potentially unsafe cumulative</w:t>
            </w:r>
            <w:r w:rsidR="006341B5" w:rsidRPr="0069765D">
              <w:rPr>
                <w:rStyle w:val="A4"/>
                <w:bCs/>
              </w:rPr>
              <w:t xml:space="preserve"> lifetime</w:t>
            </w:r>
            <w:r w:rsidR="00B739D4" w:rsidRPr="0069765D">
              <w:rPr>
                <w:rStyle w:val="A4"/>
                <w:bCs/>
              </w:rPr>
              <w:t xml:space="preserve"> doses of OCS over 12 months. Future work is required to further elucidate the magnitude and clinical significance of this issue in the management of people with COPD.</w:t>
            </w:r>
          </w:p>
          <w:p w14:paraId="7F8381F0" w14:textId="65F1491D" w:rsidR="001564A4" w:rsidRPr="00814E36" w:rsidRDefault="001564A4" w:rsidP="000A28E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69765D">
              <w:rPr>
                <w:rStyle w:val="A4"/>
                <w:b/>
                <w:bCs/>
              </w:rPr>
              <w:t xml:space="preserve">Grant Support: </w:t>
            </w:r>
            <w:r w:rsidR="00814E36" w:rsidRPr="0069765D">
              <w:rPr>
                <w:sz w:val="22"/>
                <w:szCs w:val="22"/>
              </w:rPr>
              <w:t>NHMRC project grant (GNT 1101616) and fellowship (Cox GNT 1119970)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1D140631" w14:textId="5FCB5A86" w:rsidR="00B739D4" w:rsidRPr="00B739D4" w:rsidRDefault="00B739D4" w:rsidP="00022782">
      <w:pPr>
        <w:rPr>
          <w:color w:val="FF0000"/>
        </w:rPr>
      </w:pPr>
    </w:p>
    <w:sectPr w:rsidR="00B739D4" w:rsidRPr="00B73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954C" w16cex:dateUtc="2023-10-12T23:07:00Z"/>
  <w16cex:commentExtensible w16cex:durableId="28D39562" w16cex:dateUtc="2023-10-12T23:07:00Z"/>
  <w16cex:commentExtensible w16cex:durableId="28D395A3" w16cex:dateUtc="2023-10-12T23:08:00Z"/>
  <w16cex:commentExtensible w16cex:durableId="28D395DB" w16cex:dateUtc="2023-10-12T23:0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2782"/>
    <w:rsid w:val="000A5853"/>
    <w:rsid w:val="000C1D41"/>
    <w:rsid w:val="001373AA"/>
    <w:rsid w:val="001564A4"/>
    <w:rsid w:val="00194B10"/>
    <w:rsid w:val="001A618A"/>
    <w:rsid w:val="0022797F"/>
    <w:rsid w:val="00241727"/>
    <w:rsid w:val="00261113"/>
    <w:rsid w:val="00261D74"/>
    <w:rsid w:val="002F319A"/>
    <w:rsid w:val="003A41F9"/>
    <w:rsid w:val="0051574E"/>
    <w:rsid w:val="00625E1C"/>
    <w:rsid w:val="00627A89"/>
    <w:rsid w:val="006341B5"/>
    <w:rsid w:val="0069765D"/>
    <w:rsid w:val="00814E36"/>
    <w:rsid w:val="008803FA"/>
    <w:rsid w:val="00A759FB"/>
    <w:rsid w:val="00AA0D1D"/>
    <w:rsid w:val="00AC1D2E"/>
    <w:rsid w:val="00AC455A"/>
    <w:rsid w:val="00B12E32"/>
    <w:rsid w:val="00B739D4"/>
    <w:rsid w:val="00CB5AE1"/>
    <w:rsid w:val="00D360DC"/>
    <w:rsid w:val="00D42659"/>
    <w:rsid w:val="00E0700F"/>
    <w:rsid w:val="00E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AC45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1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4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F9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1F9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cab52c9b-ab33-4221-8af9-54f8f2b86a80"/>
    <ds:schemaRef ds:uri="http://purl.org/dc/terms/"/>
    <ds:schemaRef ds:uri="9c8a2b7b-0bee-4c48-b0a6-23db8982d3bc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Angela Burge</cp:lastModifiedBy>
  <cp:revision>2</cp:revision>
  <dcterms:created xsi:type="dcterms:W3CDTF">2023-10-18T02:07:00Z</dcterms:created>
  <dcterms:modified xsi:type="dcterms:W3CDTF">2023-10-18T02:07:00Z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