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D755" w14:textId="77777777" w:rsidR="00002C98" w:rsidRDefault="001611F1">
      <w:pPr>
        <w:rPr>
          <w:rFonts w:ascii="Arial" w:hAnsi="Arial" w:cs="Arial"/>
          <w:b/>
          <w:bCs/>
          <w:lang w:val="en-GB"/>
        </w:rPr>
      </w:pPr>
      <w:r>
        <w:rPr>
          <w:rFonts w:ascii="Arial" w:hAnsi="Arial" w:cs="Arial"/>
          <w:b/>
          <w:bCs/>
          <w:lang w:val="en-GB"/>
        </w:rPr>
        <w:t>Abstract Submission Template</w:t>
      </w:r>
    </w:p>
    <w:p w14:paraId="21B6B641" w14:textId="77777777" w:rsidR="00002C98" w:rsidRDefault="00002C98">
      <w:pPr>
        <w:rPr>
          <w:rFonts w:ascii="Arial" w:hAnsi="Arial" w:cs="Arial"/>
          <w:lang w:val="en-GB"/>
        </w:rPr>
      </w:pPr>
    </w:p>
    <w:p w14:paraId="797A99B0" w14:textId="77777777" w:rsidR="00002C98" w:rsidRDefault="001611F1">
      <w:pPr>
        <w:rPr>
          <w:rFonts w:ascii="Arial" w:hAnsi="Arial" w:cs="Arial"/>
          <w:b/>
          <w:bCs/>
          <w:lang w:val="en-GB"/>
        </w:rPr>
      </w:pPr>
      <w:r>
        <w:rPr>
          <w:rFonts w:ascii="Arial" w:hAnsi="Arial" w:cs="Arial"/>
          <w:b/>
          <w:bCs/>
          <w:lang w:val="en-GB"/>
        </w:rPr>
        <w:t>Title: Effects of Water</w:t>
      </w:r>
      <w:r>
        <w:rPr>
          <w:rFonts w:ascii="Arial" w:hAnsi="Arial" w:cs="Arial"/>
          <w:b/>
          <w:bCs/>
          <w:lang w:val="en-GB" w:eastAsia="zh-CN"/>
        </w:rPr>
        <w:t xml:space="preserve"> </w:t>
      </w:r>
      <w:r>
        <w:rPr>
          <w:rFonts w:ascii="Arial" w:hAnsi="Arial" w:cs="Arial"/>
          <w:b/>
          <w:bCs/>
          <w:lang w:val="en-GB"/>
        </w:rPr>
        <w:t>Filtered Infrared-A Therapy on Multidimensional Outcomes in Patients with Diabetic Foot: A Pilot Randomized Controlled Study</w:t>
      </w:r>
    </w:p>
    <w:p w14:paraId="6F66F4BA" w14:textId="77777777" w:rsidR="00002C98" w:rsidRDefault="001611F1">
      <w:pPr>
        <w:jc w:val="both"/>
        <w:rPr>
          <w:rFonts w:ascii="Arial" w:hAnsi="Arial" w:cs="Arial"/>
          <w:lang w:val="en-GB"/>
        </w:rPr>
      </w:pPr>
      <w:r>
        <w:rPr>
          <w:rFonts w:ascii="Arial" w:hAnsi="Arial" w:cs="Arial"/>
          <w:b/>
          <w:bCs/>
        </w:rPr>
        <w:t>Aim</w:t>
      </w:r>
      <w:r>
        <w:rPr>
          <w:rFonts w:ascii="Arial" w:hAnsi="Arial" w:cs="Arial"/>
          <w:b/>
          <w:bCs/>
          <w:lang w:val="en-GB"/>
        </w:rPr>
        <w:t>:</w:t>
      </w:r>
      <w:r>
        <w:rPr>
          <w:rFonts w:ascii="Arial" w:hAnsi="Arial" w:cs="Arial"/>
          <w:lang w:val="en-GB"/>
        </w:rPr>
        <w:t xml:space="preserve"> </w:t>
      </w:r>
      <w:r>
        <w:rPr>
          <w:rFonts w:ascii="Arial" w:hAnsi="Arial" w:cs="Arial"/>
          <w:lang w:val="en-GB" w:eastAsia="zh-CN"/>
        </w:rPr>
        <w:t>P</w:t>
      </w:r>
      <w:r>
        <w:rPr>
          <w:rFonts w:ascii="Arial" w:hAnsi="Arial" w:cs="Arial"/>
          <w:lang w:val="en-GB"/>
        </w:rPr>
        <w:t>eople with diabetic foot</w:t>
      </w:r>
      <w:r>
        <w:rPr>
          <w:rFonts w:ascii="Arial" w:eastAsia="SimSun" w:hAnsi="Arial" w:cs="Arial" w:hint="eastAsia"/>
          <w:lang w:val="en-US" w:eastAsia="zh-CN"/>
        </w:rPr>
        <w:t xml:space="preserve"> (DF)</w:t>
      </w:r>
      <w:r>
        <w:rPr>
          <w:rFonts w:ascii="Arial" w:hAnsi="Arial" w:cs="Arial"/>
          <w:lang w:val="en-GB"/>
        </w:rPr>
        <w:t xml:space="preserve"> often experience impaired foot microcirculatory function and persistent local inflammation. This pilot study aimed to comprehensively assess the effects of water-filtered infrared-A (</w:t>
      </w:r>
      <w:proofErr w:type="spellStart"/>
      <w:r>
        <w:rPr>
          <w:rFonts w:ascii="Arial" w:hAnsi="Arial" w:cs="Arial"/>
          <w:lang w:val="en-GB"/>
        </w:rPr>
        <w:t>wIRA</w:t>
      </w:r>
      <w:proofErr w:type="spellEnd"/>
      <w:r>
        <w:rPr>
          <w:rFonts w:ascii="Arial" w:hAnsi="Arial" w:cs="Arial"/>
          <w:lang w:val="en-GB"/>
        </w:rPr>
        <w:t xml:space="preserve">) on foot microcirculation, systemic inflammatory biomarkers, and self-management behaviours in people with </w:t>
      </w:r>
      <w:r>
        <w:rPr>
          <w:rFonts w:ascii="Arial" w:eastAsia="SimSun" w:hAnsi="Arial" w:cs="Arial" w:hint="eastAsia"/>
          <w:lang w:val="en-US" w:eastAsia="zh-CN"/>
        </w:rPr>
        <w:t>DF</w:t>
      </w:r>
      <w:r>
        <w:rPr>
          <w:rFonts w:ascii="Arial" w:hAnsi="Arial" w:cs="Arial"/>
          <w:lang w:val="en-GB"/>
        </w:rPr>
        <w:t>.</w:t>
      </w:r>
    </w:p>
    <w:p w14:paraId="5BC7687F" w14:textId="77777777" w:rsidR="00002C98" w:rsidRDefault="00002C98">
      <w:pPr>
        <w:jc w:val="both"/>
        <w:rPr>
          <w:rFonts w:ascii="Arial" w:hAnsi="Arial" w:cs="Arial"/>
          <w:b/>
          <w:bCs/>
          <w:lang w:val="en-GB"/>
        </w:rPr>
      </w:pPr>
    </w:p>
    <w:p w14:paraId="0C00C3C1" w14:textId="77777777" w:rsidR="00002C98" w:rsidRDefault="001611F1">
      <w:pPr>
        <w:jc w:val="both"/>
        <w:rPr>
          <w:rFonts w:ascii="Arial" w:hAnsi="Arial" w:cs="Arial"/>
          <w:lang w:val="en-GB"/>
        </w:rPr>
      </w:pPr>
      <w:r>
        <w:rPr>
          <w:rFonts w:ascii="Arial" w:hAnsi="Arial" w:cs="Arial"/>
          <w:b/>
          <w:bCs/>
          <w:lang w:val="en-GB"/>
        </w:rPr>
        <w:t>Methods:</w:t>
      </w:r>
      <w:r>
        <w:rPr>
          <w:rFonts w:ascii="Arial" w:hAnsi="Arial" w:cs="Arial"/>
          <w:lang w:val="en-GB"/>
        </w:rPr>
        <w:t xml:space="preserve"> This randomised controlled pilot trial enrolled 48 participants with </w:t>
      </w:r>
      <w:r>
        <w:rPr>
          <w:rFonts w:ascii="Arial" w:eastAsia="SimSun" w:hAnsi="Arial" w:cs="Arial" w:hint="eastAsia"/>
          <w:lang w:val="en-US" w:eastAsia="zh-CN"/>
        </w:rPr>
        <w:t>DF</w:t>
      </w:r>
      <w:r>
        <w:rPr>
          <w:rFonts w:ascii="Arial" w:hAnsi="Arial" w:cs="Arial"/>
          <w:lang w:val="en-GB"/>
        </w:rPr>
        <w:t xml:space="preserve">, of whom 46 completed follow-up (23 per group). The intervention group received </w:t>
      </w:r>
      <w:proofErr w:type="spellStart"/>
      <w:r>
        <w:rPr>
          <w:rFonts w:ascii="Arial" w:hAnsi="Arial" w:cs="Arial"/>
          <w:lang w:val="en-GB"/>
        </w:rPr>
        <w:t>wIRA</w:t>
      </w:r>
      <w:proofErr w:type="spellEnd"/>
      <w:r>
        <w:rPr>
          <w:rFonts w:ascii="Arial" w:hAnsi="Arial" w:cs="Arial"/>
          <w:lang w:val="en-GB"/>
        </w:rPr>
        <w:t xml:space="preserve"> in addition to usual care, while the control group received usual care alone. Plantar microcirculatory parameters, including blood perfusion and skin temperature, were assessed using laser Doppler flowmetry. Fasting venous blood samples were collected to measure inflammatory biomarkers, including high-sensitivity C-reactive protein (CRP), matrix metall</w:t>
      </w:r>
      <w:r>
        <w:rPr>
          <w:rFonts w:ascii="Arial" w:hAnsi="Arial" w:cs="Arial"/>
          <w:lang w:val="en-GB"/>
        </w:rPr>
        <w:t>oproteinase-3 (MMP-3), interleukin-6 (IL-6), and vascular endothelial growth factor (VEGF). Validated scales were used to assess diabetes self-efficacy and foot care behaviours. Generalised estimating equation models were used to examine group effects, time effects, and group-by-time interactions.</w:t>
      </w:r>
    </w:p>
    <w:p w14:paraId="14628102" w14:textId="77777777" w:rsidR="00002C98" w:rsidRDefault="00002C98">
      <w:pPr>
        <w:jc w:val="both"/>
        <w:rPr>
          <w:rFonts w:ascii="Arial" w:hAnsi="Arial" w:cs="Arial"/>
          <w:b/>
          <w:bCs/>
          <w:lang w:val="en-GB"/>
        </w:rPr>
      </w:pPr>
    </w:p>
    <w:p w14:paraId="21FBDE8E" w14:textId="77777777" w:rsidR="00002C98" w:rsidRDefault="001611F1">
      <w:pPr>
        <w:jc w:val="both"/>
        <w:rPr>
          <w:rFonts w:ascii="Arial" w:hAnsi="Arial" w:cs="Arial"/>
          <w:lang w:val="en-GB"/>
        </w:rPr>
      </w:pPr>
      <w:r>
        <w:rPr>
          <w:rFonts w:ascii="Arial" w:hAnsi="Arial" w:cs="Arial"/>
          <w:b/>
          <w:bCs/>
          <w:lang w:val="en-GB"/>
        </w:rPr>
        <w:t>Results:</w:t>
      </w:r>
      <w:r>
        <w:rPr>
          <w:rFonts w:ascii="Arial" w:hAnsi="Arial" w:cs="Arial"/>
          <w:lang w:val="en-GB"/>
        </w:rPr>
        <w:t xml:space="preserve"> A total of 46 participants completed outcome assessment, with comparable baseline characteristics between groups (</w:t>
      </w:r>
      <w:r>
        <w:rPr>
          <w:rFonts w:ascii="Arial" w:hAnsi="Arial" w:cs="Arial"/>
          <w:i/>
          <w:iCs/>
          <w:lang w:val="en-GB"/>
        </w:rPr>
        <w:t>P</w:t>
      </w:r>
      <w:r>
        <w:rPr>
          <w:rFonts w:ascii="Arial" w:hAnsi="Arial" w:cs="Arial"/>
          <w:lang w:val="en-GB"/>
        </w:rPr>
        <w:t xml:space="preserve">&gt;0.05). Compared with the control group, the intervention group had significantly lower post-intervention levels of C-reactive protein, matrix metalloproteinase-3, interleukin-6, and vascular endothelial growth factor (all </w:t>
      </w:r>
      <w:r>
        <w:rPr>
          <w:rFonts w:ascii="Arial" w:hAnsi="Arial" w:cs="Arial"/>
          <w:i/>
          <w:iCs/>
          <w:lang w:val="en-GB"/>
        </w:rPr>
        <w:t>P</w:t>
      </w:r>
      <w:r>
        <w:rPr>
          <w:rFonts w:ascii="Arial" w:hAnsi="Arial" w:cs="Arial"/>
          <w:lang w:val="en-GB"/>
        </w:rPr>
        <w:t>&lt;0.05). Improvements in the exercise dimension of diabetes self-efficacy and Nottingham Assessment of Functional Footcare scores were also significantly greater in the inte</w:t>
      </w:r>
      <w:r>
        <w:rPr>
          <w:rFonts w:ascii="Arial" w:hAnsi="Arial" w:cs="Arial"/>
          <w:lang w:val="en-GB"/>
        </w:rPr>
        <w:t>rvention group (</w:t>
      </w:r>
      <w:r>
        <w:rPr>
          <w:rFonts w:ascii="Arial" w:hAnsi="Arial" w:cs="Arial"/>
          <w:i/>
          <w:iCs/>
          <w:lang w:val="en-GB"/>
        </w:rPr>
        <w:t>P</w:t>
      </w:r>
      <w:r>
        <w:rPr>
          <w:rFonts w:ascii="Arial" w:hAnsi="Arial" w:cs="Arial"/>
          <w:lang w:val="en-GB"/>
        </w:rPr>
        <w:t>&lt;0.05). Blood perfusion and skin temperature showed favourable trends in the intervention group, although between-group differences were not statistically significant (</w:t>
      </w:r>
      <w:r>
        <w:rPr>
          <w:rFonts w:ascii="Arial" w:hAnsi="Arial" w:cs="Arial"/>
          <w:i/>
          <w:iCs/>
          <w:lang w:val="en-GB"/>
        </w:rPr>
        <w:t>P</w:t>
      </w:r>
      <w:r>
        <w:rPr>
          <w:rFonts w:ascii="Arial" w:hAnsi="Arial" w:cs="Arial"/>
          <w:lang w:val="en-GB"/>
        </w:rPr>
        <w:t>&gt;0.05).</w:t>
      </w:r>
    </w:p>
    <w:p w14:paraId="5695A33C" w14:textId="77777777" w:rsidR="00002C98" w:rsidRDefault="00002C98">
      <w:pPr>
        <w:jc w:val="both"/>
        <w:rPr>
          <w:rFonts w:ascii="Arial" w:hAnsi="Arial" w:cs="Arial"/>
          <w:lang w:val="en-GB"/>
        </w:rPr>
      </w:pPr>
    </w:p>
    <w:p w14:paraId="45A410BC" w14:textId="77777777" w:rsidR="00002C98" w:rsidRDefault="001611F1">
      <w:pPr>
        <w:jc w:val="both"/>
        <w:rPr>
          <w:rFonts w:ascii="Arial" w:hAnsi="Arial" w:cs="Arial"/>
          <w:lang w:val="en-GB"/>
        </w:rPr>
      </w:pPr>
      <w:r>
        <w:rPr>
          <w:rFonts w:ascii="Arial" w:hAnsi="Arial" w:cs="Arial"/>
          <w:b/>
          <w:bCs/>
          <w:lang w:val="en-GB"/>
        </w:rPr>
        <w:t>Conclusion:</w:t>
      </w:r>
      <w:r>
        <w:rPr>
          <w:rFonts w:ascii="Arial" w:hAnsi="Arial" w:cs="Arial"/>
          <w:lang w:val="en-GB"/>
        </w:rPr>
        <w:t xml:space="preserve"> This </w:t>
      </w:r>
      <w:r>
        <w:rPr>
          <w:rFonts w:ascii="Arial" w:eastAsia="SimSun" w:hAnsi="Arial" w:cs="Arial" w:hint="eastAsia"/>
          <w:lang w:val="en-US" w:eastAsia="zh-CN"/>
        </w:rPr>
        <w:t>study</w:t>
      </w:r>
      <w:r>
        <w:rPr>
          <w:rFonts w:ascii="Arial" w:hAnsi="Arial" w:cs="Arial"/>
          <w:lang w:val="en-GB"/>
        </w:rPr>
        <w:t xml:space="preserve"> suggests that </w:t>
      </w:r>
      <w:proofErr w:type="spellStart"/>
      <w:r>
        <w:rPr>
          <w:rFonts w:ascii="Arial" w:hAnsi="Arial" w:cs="Arial"/>
          <w:lang w:val="en-GB"/>
        </w:rPr>
        <w:t>wIRA</w:t>
      </w:r>
      <w:proofErr w:type="spellEnd"/>
      <w:r>
        <w:rPr>
          <w:rFonts w:ascii="Arial" w:hAnsi="Arial" w:cs="Arial"/>
          <w:lang w:val="en-GB"/>
        </w:rPr>
        <w:t xml:space="preserve"> may help reduce key inflammatory biomarkers and improve self-management capacity and foot care behaviours in people with </w:t>
      </w:r>
      <w:r>
        <w:rPr>
          <w:rFonts w:ascii="Arial" w:eastAsia="SimSun" w:hAnsi="Arial" w:cs="Arial" w:hint="eastAsia"/>
          <w:lang w:val="en-US" w:eastAsia="zh-CN"/>
        </w:rPr>
        <w:t>DF</w:t>
      </w:r>
      <w:r>
        <w:rPr>
          <w:rFonts w:ascii="Arial" w:hAnsi="Arial" w:cs="Arial"/>
          <w:lang w:val="en-GB"/>
        </w:rPr>
        <w:t xml:space="preserve">. These benefits may be associated with improved physiological status, enhanced perceptions of treatment benefit, and greater confidence in disease management. Together with favourable trends in microcirculatory outcomes, these findings support the potential of </w:t>
      </w:r>
      <w:proofErr w:type="spellStart"/>
      <w:r>
        <w:rPr>
          <w:rFonts w:ascii="Arial" w:hAnsi="Arial" w:cs="Arial"/>
          <w:lang w:val="en-GB"/>
        </w:rPr>
        <w:t>wIRA</w:t>
      </w:r>
      <w:proofErr w:type="spellEnd"/>
      <w:r>
        <w:rPr>
          <w:rFonts w:ascii="Arial" w:hAnsi="Arial" w:cs="Arial"/>
          <w:lang w:val="en-GB"/>
        </w:rPr>
        <w:t xml:space="preserve"> as an adjunctive therapy for </w:t>
      </w:r>
      <w:r>
        <w:rPr>
          <w:rFonts w:ascii="Arial" w:eastAsia="SimSun" w:hAnsi="Arial" w:cs="Arial" w:hint="eastAsia"/>
          <w:lang w:val="en-US" w:eastAsia="zh-CN"/>
        </w:rPr>
        <w:t>DF</w:t>
      </w:r>
      <w:r>
        <w:rPr>
          <w:rFonts w:ascii="Arial" w:hAnsi="Arial" w:cs="Arial"/>
          <w:lang w:val="en-GB"/>
        </w:rPr>
        <w:t>.</w:t>
      </w:r>
    </w:p>
    <w:p w14:paraId="4222D144" w14:textId="77777777" w:rsidR="00002C98" w:rsidRDefault="00002C98"/>
    <w:sectPr w:rsidR="00002C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A43B" w14:textId="77777777" w:rsidR="001611F1" w:rsidRDefault="001611F1">
      <w:r>
        <w:separator/>
      </w:r>
    </w:p>
  </w:endnote>
  <w:endnote w:type="continuationSeparator" w:id="0">
    <w:p w14:paraId="606C72E9" w14:textId="77777777" w:rsidR="001611F1" w:rsidRDefault="0016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DCB7" w14:textId="77777777" w:rsidR="001611F1" w:rsidRDefault="001611F1">
      <w:r>
        <w:separator/>
      </w:r>
    </w:p>
  </w:footnote>
  <w:footnote w:type="continuationSeparator" w:id="0">
    <w:p w14:paraId="0C566ECB" w14:textId="77777777" w:rsidR="001611F1" w:rsidRDefault="00161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5E"/>
    <w:rsid w:val="00002C98"/>
    <w:rsid w:val="001611F1"/>
    <w:rsid w:val="0020438F"/>
    <w:rsid w:val="0020475E"/>
    <w:rsid w:val="00210143"/>
    <w:rsid w:val="002D1AC0"/>
    <w:rsid w:val="00347ECF"/>
    <w:rsid w:val="003F5231"/>
    <w:rsid w:val="008649CA"/>
    <w:rsid w:val="00927C90"/>
    <w:rsid w:val="00972A08"/>
    <w:rsid w:val="009C1FB8"/>
    <w:rsid w:val="00CB5B1C"/>
    <w:rsid w:val="089E7BAC"/>
    <w:rsid w:val="1CFC2D58"/>
    <w:rsid w:val="2A420242"/>
    <w:rsid w:val="2DAC5DFC"/>
    <w:rsid w:val="2E701821"/>
    <w:rsid w:val="36A2002D"/>
    <w:rsid w:val="384F66FF"/>
    <w:rsid w:val="6D28536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27B8"/>
  <w15:docId w15:val="{217BCC73-6B0A-4FDE-9954-8DA8391C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tlas Grotesk Regular" w:eastAsiaTheme="minorHAnsi" w:hAnsi="Atlas Grotesk Regular"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sz w:val="24"/>
      <w:szCs w:val="24"/>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sz w:val="28"/>
      <w:szCs w:val="28"/>
    </w:rPr>
  </w:style>
  <w:style w:type="paragraph" w:styleId="NormalWeb">
    <w:name w:val="Normal (Web)"/>
    <w:basedOn w:val="Normal"/>
    <w:qFormat/>
    <w:pPr>
      <w:spacing w:beforeAutospacing="1" w:afterAutospacing="1"/>
    </w:pPr>
    <w:rPr>
      <w:rFonts w:cs="Times New Roman"/>
      <w:kern w:val="0"/>
      <w:sz w:val="24"/>
      <w:lang w:val="en-US" w:eastAsia="zh-CN"/>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hAnsiTheme="minorHAnsi"/>
      <w:sz w:val="24"/>
      <w:szCs w:val="24"/>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xmsonormal">
    <w:name w:val="x_msonormal"/>
    <w:basedOn w:val="Normal"/>
    <w:qFormat/>
    <w:rPr>
      <w:rFonts w:ascii="Calibri" w:eastAsia="Times New Roman" w:hAnsi="Calibri" w:cs="Calibri"/>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2.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Borja</dc:creator>
  <cp:lastModifiedBy>Tanya Yandall</cp:lastModifiedBy>
  <cp:revision>2</cp:revision>
  <dcterms:created xsi:type="dcterms:W3CDTF">2026-03-17T21:40:00Z</dcterms:created>
  <dcterms:modified xsi:type="dcterms:W3CDTF">2026-03-17T21:40:00Z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TemplateDocerSaveRecord">
    <vt:lpwstr>eyJoZGlkIjoiYTA5M2FmMGFjYjJiMmU3YWE4YWFmZWNiOTRlZjhkM2EiLCJ1c2VySWQiOiIzOTQ1MTkwNTIifQ==</vt:lpwstr>
  </property>
  <property fmtid="{D5CDD505-2E9C-101B-9397-08002B2CF9AE}" pid="5" name="KSOProductBuildVer">
    <vt:lpwstr>2052-12.1.0.25225</vt:lpwstr>
  </property>
  <property fmtid="{D5CDD505-2E9C-101B-9397-08002B2CF9AE}" pid="6" name="ICV">
    <vt:lpwstr>E31A36E649E04B31BB82FA46F0CC1CAE_13</vt:lpwstr>
  </property>
</Properties>
</file>