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1BD1" w14:textId="4F17E284" w:rsidR="001149FF" w:rsidRPr="001149FF" w:rsidRDefault="00240E71" w:rsidP="001149FF">
      <w:pPr>
        <w:rPr>
          <w:rFonts w:ascii="Arial" w:hAnsi="Arial" w:cs="Arial"/>
          <w:b/>
          <w:bCs/>
          <w:sz w:val="22"/>
          <w:szCs w:val="22"/>
        </w:rPr>
      </w:pPr>
      <w:r w:rsidRPr="00240E71">
        <w:rPr>
          <w:rFonts w:ascii="Arial" w:hAnsi="Arial" w:cs="Arial"/>
          <w:b/>
          <w:bCs/>
          <w:sz w:val="22"/>
          <w:szCs w:val="22"/>
        </w:rPr>
        <w:t>A CT</w:t>
      </w:r>
      <w:r w:rsidRPr="00240E71">
        <w:rPr>
          <w:rFonts w:ascii="Cambria Math" w:hAnsi="Cambria Math" w:cs="Cambria Math"/>
          <w:b/>
          <w:bCs/>
          <w:sz w:val="22"/>
          <w:szCs w:val="22"/>
        </w:rPr>
        <w:t>‑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240E71">
        <w:rPr>
          <w:rFonts w:ascii="Arial" w:hAnsi="Arial" w:cs="Arial"/>
          <w:b/>
          <w:bCs/>
          <w:sz w:val="22"/>
          <w:szCs w:val="22"/>
        </w:rPr>
        <w:t xml:space="preserve">ased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40E71">
        <w:rPr>
          <w:rFonts w:ascii="Arial" w:hAnsi="Arial" w:cs="Arial"/>
          <w:b/>
          <w:bCs/>
          <w:sz w:val="22"/>
          <w:szCs w:val="22"/>
        </w:rPr>
        <w:t xml:space="preserve">lternative to SPECT for 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240E71">
        <w:rPr>
          <w:rFonts w:ascii="Arial" w:hAnsi="Arial" w:cs="Arial"/>
          <w:b/>
          <w:bCs/>
          <w:sz w:val="22"/>
          <w:szCs w:val="22"/>
        </w:rPr>
        <w:t xml:space="preserve">egional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40E71">
        <w:rPr>
          <w:rFonts w:ascii="Arial" w:hAnsi="Arial" w:cs="Arial"/>
          <w:b/>
          <w:bCs/>
          <w:sz w:val="22"/>
          <w:szCs w:val="22"/>
        </w:rPr>
        <w:t>ssessment</w:t>
      </w:r>
      <w:r>
        <w:rPr>
          <w:rFonts w:ascii="Arial" w:hAnsi="Arial" w:cs="Arial"/>
          <w:b/>
          <w:bCs/>
          <w:sz w:val="22"/>
          <w:szCs w:val="22"/>
        </w:rPr>
        <w:t xml:space="preserve"> of pulmonary ventilation and perfusion</w:t>
      </w:r>
    </w:p>
    <w:p w14:paraId="4E8A386F" w14:textId="330433AA" w:rsidR="004B67D8" w:rsidRDefault="004B67D8" w:rsidP="001149FF">
      <w:pPr>
        <w:rPr>
          <w:rFonts w:ascii="Arial" w:hAnsi="Arial" w:cs="Arial"/>
          <w:i/>
          <w:sz w:val="22"/>
          <w:szCs w:val="22"/>
          <w:vertAlign w:val="superscript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Eikelis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N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Hatt CR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Nilsen K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Dusting J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Siddharthan T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, Dwyer </w:t>
      </w:r>
      <w:r>
        <w:rPr>
          <w:rFonts w:ascii="Arial" w:hAnsi="Arial" w:cs="Arial"/>
          <w:i/>
          <w:sz w:val="22"/>
          <w:szCs w:val="22"/>
          <w:lang w:val="en-US"/>
        </w:rPr>
        <w:t>A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 w:rsidR="00395AEA">
        <w:rPr>
          <w:rFonts w:ascii="Arial" w:hAnsi="Arial" w:cs="Arial"/>
          <w:i/>
          <w:sz w:val="22"/>
          <w:szCs w:val="22"/>
          <w:vertAlign w:val="superscript"/>
          <w:lang w:val="en-US"/>
        </w:rPr>
        <w:t>,4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 xml:space="preserve">Sharma </w:t>
      </w:r>
      <w:r>
        <w:rPr>
          <w:rFonts w:ascii="Arial" w:hAnsi="Arial" w:cs="Arial"/>
          <w:i/>
          <w:sz w:val="22"/>
          <w:szCs w:val="22"/>
          <w:lang w:val="en-US"/>
        </w:rPr>
        <w:t>D</w:t>
      </w:r>
      <w:r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Mogel G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, Fouras A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4B67D8">
        <w:rPr>
          <w:rFonts w:ascii="Arial" w:hAnsi="Arial" w:cs="Arial"/>
          <w:i/>
          <w:sz w:val="22"/>
          <w:szCs w:val="22"/>
          <w:lang w:val="en-US"/>
        </w:rPr>
        <w:t>Ludwig KD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</w:p>
    <w:p w14:paraId="561A1DE2" w14:textId="5D5ABED5" w:rsidR="004B67D8" w:rsidRPr="004B67D8" w:rsidRDefault="004B67D8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Pr="004B67D8">
        <w:rPr>
          <w:rFonts w:ascii="Arial" w:hAnsi="Arial" w:cs="Arial"/>
          <w:i/>
          <w:sz w:val="22"/>
          <w:szCs w:val="22"/>
          <w:lang w:val="en-US"/>
        </w:rPr>
        <w:t>4DMedical Limited, Melbourne, Australia</w:t>
      </w:r>
      <w:r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Pr="004B67D8">
        <w:rPr>
          <w:rFonts w:ascii="Arial" w:hAnsi="Arial" w:cs="Arial"/>
          <w:i/>
          <w:sz w:val="22"/>
          <w:szCs w:val="22"/>
          <w:lang w:val="en-US"/>
        </w:rPr>
        <w:t>University of Miami, Miami, Florida, USA</w:t>
      </w:r>
      <w:r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Pr="004B67D8"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i/>
          <w:sz w:val="22"/>
          <w:szCs w:val="22"/>
          <w:lang w:val="en-US"/>
        </w:rPr>
        <w:t>SAHMRI</w:t>
      </w:r>
      <w:r w:rsidR="00395AEA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395AEA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="00395AEA">
        <w:rPr>
          <w:rFonts w:ascii="Arial" w:hAnsi="Arial" w:cs="Arial"/>
          <w:i/>
          <w:sz w:val="22"/>
          <w:szCs w:val="22"/>
          <w:lang w:val="en-US"/>
        </w:rPr>
        <w:t>National Imaging Facility, Australia</w:t>
      </w:r>
    </w:p>
    <w:p w14:paraId="07D62F61" w14:textId="77777777" w:rsidR="004B67D8" w:rsidRPr="004B67D8" w:rsidRDefault="004B67D8" w:rsidP="001149FF">
      <w:pPr>
        <w:rPr>
          <w:rFonts w:ascii="Arial" w:hAnsi="Arial" w:cs="Arial"/>
          <w:i/>
          <w:sz w:val="22"/>
          <w:szCs w:val="22"/>
          <w:lang w:val="en-US"/>
        </w:rPr>
      </w:pPr>
    </w:p>
    <w:p w14:paraId="43AC2D61" w14:textId="6915D10B" w:rsidR="001149FF" w:rsidRPr="001149FF" w:rsidRDefault="001149FF" w:rsidP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Introduction/Aim: </w:t>
      </w:r>
    </w:p>
    <w:p w14:paraId="3F55C7EB" w14:textId="0A9290FD" w:rsidR="001149FF" w:rsidRPr="001149FF" w:rsidRDefault="00240E71" w:rsidP="001149FF">
      <w:pPr>
        <w:rPr>
          <w:rFonts w:ascii="Arial" w:hAnsi="Arial" w:cs="Arial"/>
          <w:sz w:val="22"/>
          <w:szCs w:val="22"/>
          <w:lang w:val="en-NZ"/>
        </w:rPr>
      </w:pPr>
      <w:r w:rsidRPr="00240E71">
        <w:rPr>
          <w:rFonts w:ascii="Arial" w:hAnsi="Arial" w:cs="Arial"/>
          <w:sz w:val="22"/>
          <w:szCs w:val="22"/>
          <w:lang w:val="en-NZ"/>
        </w:rPr>
        <w:t xml:space="preserve">SPECT </w:t>
      </w:r>
      <w:r>
        <w:rPr>
          <w:rFonts w:ascii="Arial" w:hAnsi="Arial" w:cs="Arial"/>
          <w:sz w:val="22"/>
          <w:szCs w:val="22"/>
          <w:lang w:val="en-NZ"/>
        </w:rPr>
        <w:t xml:space="preserve">VQ </w:t>
      </w:r>
      <w:r w:rsidRPr="00240E71">
        <w:rPr>
          <w:rFonts w:ascii="Arial" w:hAnsi="Arial" w:cs="Arial"/>
          <w:sz w:val="22"/>
          <w:szCs w:val="22"/>
          <w:lang w:val="en-NZ"/>
        </w:rPr>
        <w:t xml:space="preserve">is the reference </w:t>
      </w:r>
      <w:r>
        <w:rPr>
          <w:rFonts w:ascii="Arial" w:hAnsi="Arial" w:cs="Arial"/>
          <w:sz w:val="22"/>
          <w:szCs w:val="22"/>
          <w:lang w:val="en-NZ"/>
        </w:rPr>
        <w:t xml:space="preserve">test </w:t>
      </w:r>
      <w:r w:rsidRPr="00240E71">
        <w:rPr>
          <w:rFonts w:ascii="Arial" w:hAnsi="Arial" w:cs="Arial"/>
          <w:sz w:val="22"/>
          <w:szCs w:val="22"/>
          <w:lang w:val="en-NZ"/>
        </w:rPr>
        <w:t>for regional lung function mapping but is limited by low spatial resolution, logistics and radiation exposure. We evaluated a non</w:t>
      </w:r>
      <w:r w:rsidRPr="00240E71">
        <w:rPr>
          <w:rFonts w:ascii="Cambria Math" w:hAnsi="Cambria Math" w:cs="Cambria Math"/>
          <w:sz w:val="22"/>
          <w:szCs w:val="22"/>
          <w:lang w:val="en-NZ"/>
        </w:rPr>
        <w:t>‑</w:t>
      </w:r>
      <w:r w:rsidRPr="00240E71">
        <w:rPr>
          <w:rFonts w:ascii="Arial" w:hAnsi="Arial" w:cs="Arial"/>
          <w:sz w:val="22"/>
          <w:szCs w:val="22"/>
          <w:lang w:val="en-NZ"/>
        </w:rPr>
        <w:t>contrast CT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Pr="00240E71">
        <w:rPr>
          <w:rFonts w:ascii="Arial" w:hAnsi="Arial" w:cs="Arial"/>
          <w:sz w:val="22"/>
          <w:szCs w:val="22"/>
          <w:lang w:val="en-NZ"/>
        </w:rPr>
        <w:t>derived method (</w:t>
      </w:r>
      <w:proofErr w:type="gramStart"/>
      <w:r w:rsidRPr="00240E71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240E71">
        <w:rPr>
          <w:rFonts w:ascii="Arial" w:hAnsi="Arial" w:cs="Arial"/>
          <w:sz w:val="22"/>
          <w:szCs w:val="22"/>
          <w:lang w:val="en-NZ"/>
        </w:rPr>
        <w:t xml:space="preserve">) that generates 3D ventilation and perfusion maps from routine CT, using SPECT VQ as the benchmark. Our aim was to quantify lobar-level agreement between </w:t>
      </w:r>
      <w:proofErr w:type="gramStart"/>
      <w:r w:rsidRPr="00240E71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240E71">
        <w:rPr>
          <w:rFonts w:ascii="Arial" w:hAnsi="Arial" w:cs="Arial"/>
          <w:sz w:val="22"/>
          <w:szCs w:val="22"/>
          <w:lang w:val="en-NZ"/>
        </w:rPr>
        <w:t xml:space="preserve"> and SPECT for ventilation and perfusion.</w:t>
      </w:r>
    </w:p>
    <w:p w14:paraId="0B5F0808" w14:textId="77777777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Method: </w:t>
      </w:r>
    </w:p>
    <w:p w14:paraId="12AF80E6" w14:textId="6C9FB732" w:rsidR="001149FF" w:rsidRPr="008152FD" w:rsidRDefault="008C152C" w:rsidP="001149FF">
      <w:pPr>
        <w:rPr>
          <w:rFonts w:ascii="Arial" w:hAnsi="Arial" w:cs="Arial"/>
          <w:sz w:val="22"/>
          <w:szCs w:val="22"/>
          <w:lang w:val="en-NZ"/>
        </w:rPr>
      </w:pPr>
      <w:r w:rsidRPr="008C152C">
        <w:rPr>
          <w:rFonts w:ascii="Arial" w:hAnsi="Arial" w:cs="Arial"/>
          <w:sz w:val="22"/>
          <w:szCs w:val="22"/>
          <w:lang w:val="en-NZ"/>
        </w:rPr>
        <w:t xml:space="preserve">Seventy-seven adults (mean age 59.5 years; BMI 28.2 kg/m²) underwent SPECT/CT and paired inspiratory/expiratory chest CT imaging. The anatomical CT from free-breathing SPECT was co-registered with the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expiratory CT for spatial alignment. A lobar mask from the expiratory CT was applied to compute lobar percentage ventilation (V) and perfusion (P) for each participant. Agreement was assessed using Pearson correlation across lobar distributions for V and Q between the two modalities, reported as a lung total percentage. Pearson regression analyses were conducted on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CT:VQ’s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regional variability metrics</w:t>
      </w:r>
      <w:r w:rsidRPr="008C152C">
        <w:t xml:space="preserve"> </w:t>
      </w:r>
      <w:r w:rsidRPr="008C152C">
        <w:rPr>
          <w:rFonts w:ascii="Arial" w:hAnsi="Arial" w:cs="Arial"/>
          <w:sz w:val="22"/>
          <w:szCs w:val="22"/>
          <w:lang w:val="en-NZ"/>
        </w:rPr>
        <w:t>(coefficient of variation (CV=s/m) and heterogeneity (H=IQR/m)) against PFT measurements (</w:t>
      </w:r>
      <w:r>
        <w:rPr>
          <w:rFonts w:ascii="Arial" w:hAnsi="Arial" w:cs="Arial"/>
          <w:sz w:val="22"/>
          <w:szCs w:val="22"/>
          <w:lang w:val="en-NZ"/>
        </w:rPr>
        <w:t xml:space="preserve">DLCO and </w:t>
      </w:r>
      <w:r w:rsidRPr="008C152C">
        <w:rPr>
          <w:rFonts w:ascii="Arial" w:hAnsi="Arial" w:cs="Arial"/>
          <w:sz w:val="22"/>
          <w:szCs w:val="22"/>
          <w:lang w:val="en-NZ"/>
        </w:rPr>
        <w:t>FEV1/FVC).</w:t>
      </w:r>
      <w:r w:rsidR="001149FF" w:rsidRPr="001149FF">
        <w:rPr>
          <w:rFonts w:ascii="Arial" w:hAnsi="Arial" w:cs="Arial"/>
          <w:sz w:val="22"/>
          <w:szCs w:val="22"/>
          <w:lang w:val="en-NZ"/>
        </w:rPr>
        <w:br/>
      </w:r>
      <w:r w:rsidR="001149FF"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Results: </w:t>
      </w:r>
    </w:p>
    <w:p w14:paraId="71408539" w14:textId="6FCCE388" w:rsidR="004B67D8" w:rsidRDefault="008C152C" w:rsidP="001149FF">
      <w:pPr>
        <w:rPr>
          <w:rFonts w:ascii="Arial" w:hAnsi="Arial" w:cs="Arial"/>
          <w:sz w:val="22"/>
          <w:szCs w:val="22"/>
          <w:lang w:val="en-NZ"/>
        </w:rPr>
      </w:pPr>
      <w:r w:rsidRPr="008C152C">
        <w:rPr>
          <w:rFonts w:ascii="Arial" w:hAnsi="Arial" w:cs="Arial"/>
          <w:sz w:val="22"/>
          <w:szCs w:val="22"/>
          <w:lang w:val="en-NZ"/>
        </w:rPr>
        <w:t xml:space="preserve">Strong lobar-level correlations were observed between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and SPECT for </w:t>
      </w:r>
      <w:r>
        <w:rPr>
          <w:rFonts w:ascii="Arial" w:hAnsi="Arial" w:cs="Arial"/>
          <w:sz w:val="22"/>
          <w:szCs w:val="22"/>
          <w:lang w:val="en-NZ"/>
        </w:rPr>
        <w:t>V</w:t>
      </w:r>
      <w:r w:rsidRPr="008C152C">
        <w:rPr>
          <w:rFonts w:ascii="Arial" w:hAnsi="Arial" w:cs="Arial"/>
          <w:sz w:val="22"/>
          <w:szCs w:val="22"/>
          <w:lang w:val="en-NZ"/>
        </w:rPr>
        <w:t xml:space="preserve"> (r=0.842, p&lt;0.001) and </w:t>
      </w:r>
      <w:r>
        <w:rPr>
          <w:rFonts w:ascii="Arial" w:hAnsi="Arial" w:cs="Arial"/>
          <w:sz w:val="22"/>
          <w:szCs w:val="22"/>
          <w:lang w:val="en-NZ"/>
        </w:rPr>
        <w:t>Q</w:t>
      </w:r>
      <w:r w:rsidRPr="008C152C">
        <w:rPr>
          <w:rFonts w:ascii="Arial" w:hAnsi="Arial" w:cs="Arial"/>
          <w:sz w:val="22"/>
          <w:szCs w:val="22"/>
          <w:lang w:val="en-NZ"/>
        </w:rPr>
        <w:t xml:space="preserve"> (r=0.872, p&lt;0.001).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perfusion heterogeneity metrics showed greater negative correlations with DLCO % predicted than SPECT (CVQ: r=-0.778 vs. r=-0.617; HQ: r=-0.766 vs. r=-0.542; all p&lt;0.001).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ventilation heterogeneity metrics showed moderate negative correlations with FEV1/FVC % predicted (CVV: r=-0.553; HV: r=-0.551;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both p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>&lt;0.001).</w:t>
      </w:r>
    </w:p>
    <w:p w14:paraId="36BAEE5F" w14:textId="17D01A9A" w:rsidR="001149FF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Conclusion: </w:t>
      </w:r>
    </w:p>
    <w:p w14:paraId="1BEF0C9C" w14:textId="43FE4FAD" w:rsidR="008C152C" w:rsidRDefault="008C152C" w:rsidP="001149FF">
      <w:pPr>
        <w:rPr>
          <w:rFonts w:ascii="Arial" w:hAnsi="Arial" w:cs="Arial"/>
          <w:noProof/>
          <w:sz w:val="22"/>
          <w:szCs w:val="22"/>
          <w:lang w:val="en-NZ"/>
        </w:rPr>
      </w:pP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produces lobar ventilation and perfusion distributions closely matching SPECT VQ, validating it as a fast, high-resolution, non-contrast alternative that can derive from routine CT data. </w:t>
      </w:r>
      <w:proofErr w:type="gramStart"/>
      <w:r w:rsidRPr="008C152C">
        <w:rPr>
          <w:rFonts w:ascii="Arial" w:hAnsi="Arial" w:cs="Arial"/>
          <w:sz w:val="22"/>
          <w:szCs w:val="22"/>
          <w:lang w:val="en-NZ"/>
        </w:rPr>
        <w:t>CT:VQ</w:t>
      </w:r>
      <w:proofErr w:type="gramEnd"/>
      <w:r w:rsidRPr="008C152C">
        <w:rPr>
          <w:rFonts w:ascii="Arial" w:hAnsi="Arial" w:cs="Arial"/>
          <w:sz w:val="22"/>
          <w:szCs w:val="22"/>
          <w:lang w:val="en-NZ"/>
        </w:rPr>
        <w:t xml:space="preserve"> could facilitate regional functional assessment where SPECT is unavailable or impractical. Further studies should explore its diagnostic performance in specific diseases and its connection to clinical outcomes.</w:t>
      </w:r>
      <w:r w:rsidRPr="008C152C">
        <w:rPr>
          <w:rFonts w:ascii="Arial" w:hAnsi="Arial" w:cs="Arial"/>
          <w:noProof/>
          <w:sz w:val="22"/>
          <w:szCs w:val="22"/>
          <w:lang w:val="en-NZ"/>
        </w:rPr>
        <w:t xml:space="preserve"> </w:t>
      </w:r>
    </w:p>
    <w:p w14:paraId="0AAB487B" w14:textId="5830B023" w:rsidR="009840B9" w:rsidRDefault="009840B9" w:rsidP="001149FF">
      <w:pPr>
        <w:rPr>
          <w:rFonts w:ascii="Arial" w:hAnsi="Arial" w:cs="Arial"/>
          <w:noProof/>
          <w:sz w:val="22"/>
          <w:szCs w:val="22"/>
          <w:lang w:val="en-NZ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8C2E7" wp14:editId="44D91C6D">
                <wp:simplePos x="0" y="0"/>
                <wp:positionH relativeFrom="column">
                  <wp:posOffset>-38100</wp:posOffset>
                </wp:positionH>
                <wp:positionV relativeFrom="paragraph">
                  <wp:posOffset>114935</wp:posOffset>
                </wp:positionV>
                <wp:extent cx="5797550" cy="1943100"/>
                <wp:effectExtent l="0" t="0" r="12700" b="19050"/>
                <wp:wrapNone/>
                <wp:docPr id="672676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19431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51F4DC" id="Rectangle 1" o:spid="_x0000_s1026" style="position:absolute;margin-left:-3pt;margin-top:9.05pt;width:456.5pt;height:15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" filled="f" strokecolor="#0a121c [484]" strokeweight="1pt"/>
            </w:pict>
          </mc:Fallback>
        </mc:AlternateContent>
      </w:r>
    </w:p>
    <w:p w14:paraId="76B1A52D" w14:textId="025A2B02" w:rsidR="008C152C" w:rsidRDefault="008C152C" w:rsidP="001149FF">
      <w:pPr>
        <w:rPr>
          <w:rFonts w:ascii="Arial" w:hAnsi="Arial" w:cs="Arial"/>
          <w:noProof/>
          <w:sz w:val="22"/>
          <w:szCs w:val="22"/>
          <w:lang w:val="en-NZ"/>
        </w:rPr>
      </w:pPr>
      <w:r w:rsidRPr="008C152C">
        <w:rPr>
          <w:rFonts w:ascii="Arial" w:hAnsi="Arial" w:cs="Arial"/>
          <w:b/>
          <w:bCs/>
          <w:i/>
          <w:iCs/>
          <w:noProof/>
          <w:sz w:val="22"/>
          <w:szCs w:val="22"/>
          <w:lang w:val="en-NZ"/>
        </w:rPr>
        <w:drawing>
          <wp:anchor distT="0" distB="0" distL="114300" distR="114300" simplePos="0" relativeHeight="251658240" behindDoc="0" locked="0" layoutInCell="1" allowOverlap="1" wp14:anchorId="1DACE352" wp14:editId="0FCCF0F8">
            <wp:simplePos x="0" y="0"/>
            <wp:positionH relativeFrom="column">
              <wp:posOffset>-86995</wp:posOffset>
            </wp:positionH>
            <wp:positionV relativeFrom="paragraph">
              <wp:posOffset>85725</wp:posOffset>
            </wp:positionV>
            <wp:extent cx="3373755" cy="1745615"/>
            <wp:effectExtent l="0" t="0" r="0" b="6985"/>
            <wp:wrapSquare wrapText="bothSides"/>
            <wp:docPr id="199717375" name="Picture 2" descr="A collage of graphs showing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7375" name="Picture 2" descr="A collage of graphs showing different colo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174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52C">
        <w:rPr>
          <w:rFonts w:ascii="Arial" w:hAnsi="Arial" w:cs="Arial"/>
          <w:b/>
          <w:bCs/>
          <w:i/>
          <w:iCs/>
          <w:noProof/>
          <w:sz w:val="22"/>
          <w:szCs w:val="22"/>
          <w:lang w:val="en-NZ"/>
        </w:rPr>
        <w:t>Figure 1:</w:t>
      </w:r>
      <w:r w:rsidRPr="008C152C">
        <w:rPr>
          <w:rFonts w:ascii="Arial" w:hAnsi="Arial" w:cs="Arial"/>
          <w:noProof/>
          <w:sz w:val="22"/>
          <w:szCs w:val="22"/>
          <w:lang w:val="en-NZ"/>
        </w:rPr>
        <w:t xml:space="preserve"> Lobar-level comparison of perfusion (left) and ventilation (right) between SPECT and CT:VQ. Each data point represents the ventilation or perfusion in a lobe as a percentage of the total ventilation or perfusion in the lungs. Different lobe regions are indicated by marker colo</w:t>
      </w:r>
      <w:r w:rsidR="009840B9">
        <w:rPr>
          <w:rFonts w:ascii="Arial" w:hAnsi="Arial" w:cs="Arial"/>
          <w:noProof/>
          <w:sz w:val="22"/>
          <w:szCs w:val="22"/>
          <w:lang w:val="en-NZ"/>
        </w:rPr>
        <w:t>u</w:t>
      </w:r>
      <w:r w:rsidRPr="008C152C">
        <w:rPr>
          <w:rFonts w:ascii="Arial" w:hAnsi="Arial" w:cs="Arial"/>
          <w:noProof/>
          <w:sz w:val="22"/>
          <w:szCs w:val="22"/>
          <w:lang w:val="en-NZ"/>
        </w:rPr>
        <w:t xml:space="preserve">r, and each cohort is indicated by marker style. The dashed line represents the linear regression fit.  </w:t>
      </w:r>
    </w:p>
    <w:p w14:paraId="3175AAAF" w14:textId="77777777" w:rsidR="008C152C" w:rsidRDefault="008C152C" w:rsidP="001149FF">
      <w:pPr>
        <w:rPr>
          <w:rFonts w:ascii="Arial" w:hAnsi="Arial" w:cs="Arial"/>
          <w:sz w:val="22"/>
          <w:szCs w:val="22"/>
          <w:lang w:val="en-NZ"/>
        </w:rPr>
      </w:pPr>
    </w:p>
    <w:p w14:paraId="76E5151D" w14:textId="77777777" w:rsidR="000859F8" w:rsidRDefault="008152FD">
      <w:pPr>
        <w:rPr>
          <w:rFonts w:ascii="Arial" w:hAnsi="Arial" w:cs="Arial"/>
          <w:b/>
          <w:bCs/>
          <w:sz w:val="22"/>
          <w:szCs w:val="22"/>
          <w:lang w:val="en-NZ"/>
        </w:rPr>
      </w:pPr>
      <w:r>
        <w:rPr>
          <w:rFonts w:ascii="Arial" w:hAnsi="Arial" w:cs="Arial"/>
          <w:b/>
          <w:bCs/>
          <w:sz w:val="22"/>
          <w:szCs w:val="22"/>
          <w:lang w:val="en-NZ"/>
        </w:rPr>
        <w:br/>
      </w:r>
      <w:r w:rsidR="000859F8" w:rsidRPr="008152FD">
        <w:rPr>
          <w:rFonts w:ascii="Arial" w:hAnsi="Arial" w:cs="Arial"/>
          <w:b/>
          <w:bCs/>
          <w:sz w:val="22"/>
          <w:szCs w:val="22"/>
          <w:lang w:val="en-NZ"/>
        </w:rPr>
        <w:t>Key words:</w:t>
      </w:r>
      <w:r w:rsidR="000859F8">
        <w:rPr>
          <w:rFonts w:ascii="Arial" w:hAnsi="Arial" w:cs="Arial"/>
          <w:sz w:val="22"/>
          <w:szCs w:val="22"/>
          <w:lang w:val="en-NZ"/>
        </w:rPr>
        <w:t xml:space="preserve"> SPECT VQ, ventilation perfusion, imaging</w:t>
      </w:r>
      <w:r w:rsidR="000859F8"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 </w:t>
      </w:r>
    </w:p>
    <w:p w14:paraId="6C68ACA4" w14:textId="213B3175" w:rsidR="00EE3EA8" w:rsidRDefault="001149FF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>Grant Suppor</w:t>
      </w:r>
      <w:r w:rsidR="008C152C">
        <w:rPr>
          <w:rFonts w:ascii="Arial" w:hAnsi="Arial" w:cs="Arial"/>
          <w:b/>
          <w:bCs/>
          <w:sz w:val="22"/>
          <w:szCs w:val="22"/>
          <w:lang w:val="en-NZ"/>
        </w:rPr>
        <w:t>t:</w:t>
      </w:r>
      <w:r w:rsidR="008C152C">
        <w:rPr>
          <w:rFonts w:ascii="Arial" w:hAnsi="Arial" w:cs="Arial"/>
          <w:sz w:val="22"/>
          <w:szCs w:val="22"/>
          <w:lang w:val="en-NZ"/>
        </w:rPr>
        <w:t xml:space="preserve"> This study was supported by </w:t>
      </w:r>
      <w:r w:rsidR="00324BBF">
        <w:rPr>
          <w:rFonts w:ascii="Arial" w:hAnsi="Arial" w:cs="Arial"/>
          <w:sz w:val="22"/>
          <w:szCs w:val="22"/>
          <w:lang w:val="en-NZ"/>
        </w:rPr>
        <w:t xml:space="preserve">a </w:t>
      </w:r>
      <w:r w:rsidR="008C152C">
        <w:rPr>
          <w:rFonts w:ascii="Arial" w:hAnsi="Arial" w:cs="Arial"/>
          <w:sz w:val="22"/>
          <w:szCs w:val="22"/>
          <w:lang w:val="en-NZ"/>
        </w:rPr>
        <w:t>grant from 4DMedical</w:t>
      </w:r>
    </w:p>
    <w:p w14:paraId="300CFAF1" w14:textId="3A53BD1A" w:rsidR="008152FD" w:rsidRPr="008152FD" w:rsidRDefault="008152FD">
      <w:pPr>
        <w:rPr>
          <w:rFonts w:ascii="Arial" w:hAnsi="Arial" w:cs="Arial"/>
          <w:sz w:val="22"/>
          <w:szCs w:val="22"/>
          <w:lang w:val="en-NZ"/>
        </w:rPr>
      </w:pPr>
      <w:r w:rsidRPr="008152FD">
        <w:rPr>
          <w:rFonts w:ascii="Arial" w:hAnsi="Arial" w:cs="Arial"/>
          <w:b/>
          <w:bCs/>
          <w:sz w:val="22"/>
          <w:szCs w:val="22"/>
          <w:lang w:val="en-NZ"/>
        </w:rPr>
        <w:t xml:space="preserve">Declaration of Interest Statement: </w:t>
      </w:r>
      <w:r w:rsidRPr="008152FD">
        <w:rPr>
          <w:rFonts w:ascii="Arial" w:hAnsi="Arial" w:cs="Arial"/>
          <w:sz w:val="22"/>
          <w:szCs w:val="22"/>
          <w:lang w:val="en-NZ"/>
        </w:rPr>
        <w:t>Eikelis, Hatt, Nilsen, Dusting, Mogel, Fouras</w:t>
      </w:r>
      <w:r>
        <w:rPr>
          <w:rFonts w:ascii="Arial" w:hAnsi="Arial" w:cs="Arial"/>
          <w:sz w:val="22"/>
          <w:szCs w:val="22"/>
          <w:lang w:val="en-NZ"/>
        </w:rPr>
        <w:t xml:space="preserve"> and</w:t>
      </w:r>
      <w:r w:rsidRPr="008152FD">
        <w:rPr>
          <w:rFonts w:ascii="Arial" w:hAnsi="Arial" w:cs="Arial"/>
          <w:sz w:val="22"/>
          <w:szCs w:val="22"/>
          <w:lang w:val="en-NZ"/>
        </w:rPr>
        <w:t xml:space="preserve"> Ludwig </w:t>
      </w:r>
      <w:r>
        <w:rPr>
          <w:rFonts w:ascii="Arial" w:hAnsi="Arial" w:cs="Arial"/>
          <w:sz w:val="22"/>
          <w:szCs w:val="22"/>
          <w:lang w:val="en-NZ"/>
        </w:rPr>
        <w:t>are employees of 4DMedical</w:t>
      </w:r>
      <w:r>
        <w:rPr>
          <w:rFonts w:ascii="Arial" w:hAnsi="Arial" w:cs="Arial"/>
          <w:sz w:val="22"/>
          <w:szCs w:val="22"/>
          <w:lang w:val="en-NZ"/>
        </w:rPr>
        <w:br/>
      </w:r>
    </w:p>
    <w:sectPr w:rsidR="008152FD" w:rsidRPr="00815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332E7"/>
    <w:rsid w:val="000859F8"/>
    <w:rsid w:val="001149FF"/>
    <w:rsid w:val="001502A7"/>
    <w:rsid w:val="00240E71"/>
    <w:rsid w:val="002710A9"/>
    <w:rsid w:val="002B4988"/>
    <w:rsid w:val="00323005"/>
    <w:rsid w:val="00324BBF"/>
    <w:rsid w:val="00361F7E"/>
    <w:rsid w:val="00395AEA"/>
    <w:rsid w:val="003A459E"/>
    <w:rsid w:val="003D0B08"/>
    <w:rsid w:val="003F0690"/>
    <w:rsid w:val="00487EC0"/>
    <w:rsid w:val="004B67D8"/>
    <w:rsid w:val="005B3C80"/>
    <w:rsid w:val="005B5AC2"/>
    <w:rsid w:val="006438E9"/>
    <w:rsid w:val="006D4713"/>
    <w:rsid w:val="007148A9"/>
    <w:rsid w:val="00752808"/>
    <w:rsid w:val="008152FD"/>
    <w:rsid w:val="008C152C"/>
    <w:rsid w:val="009656B9"/>
    <w:rsid w:val="009840B9"/>
    <w:rsid w:val="00B062C2"/>
    <w:rsid w:val="00BF2554"/>
    <w:rsid w:val="00BF6A01"/>
    <w:rsid w:val="00C91C8C"/>
    <w:rsid w:val="00D02B65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customStyle="1" w:styleId="wacimagecontainer">
    <w:name w:val="wacimagecontainer"/>
    <w:basedOn w:val="DefaultParagraphFont"/>
    <w:rsid w:val="0003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28FC7-8A9A-4B71-8A4B-0FE982C9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infopath/2007/PartnerControls"/>
    <ds:schemaRef ds:uri="http://www.w3.org/XML/1998/namespace"/>
    <ds:schemaRef ds:uri="http://purl.org/dc/elements/1.1/"/>
    <ds:schemaRef ds:uri="cab52c9b-ab33-4221-8af9-54f8f2b86a80"/>
    <ds:schemaRef ds:uri="6911e96c-4cc4-42d5-8e43-f93924cf6a05"/>
    <ds:schemaRef ds:uri="http://schemas.microsoft.com/office/2006/documentManagement/types"/>
    <ds:schemaRef ds:uri="9c8a2b7b-0bee-4c48-b0a6-23db8982d3b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2584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Leah McLeod</cp:lastModifiedBy>
  <cp:revision>2</cp:revision>
  <dcterms:created xsi:type="dcterms:W3CDTF">2025-10-20T23:32:00Z</dcterms:created>
  <dcterms:modified xsi:type="dcterms:W3CDTF">2025-10-20T23:32:00Z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