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8F365D" w14:paraId="277C2857" w14:textId="77777777">
        <w:tc>
          <w:tcPr>
            <w:tcW w:w="8640" w:type="dxa"/>
          </w:tcPr>
          <w:p w14:paraId="47B936E7" w14:textId="77777777" w:rsidR="00223036" w:rsidRPr="004313E9" w:rsidRDefault="00C53AD7" w:rsidP="00782C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13E9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797724" w:rsidRPr="004313E9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313E9">
              <w:rPr>
                <w:rFonts w:ascii="Arial" w:hAnsi="Arial" w:cs="Arial"/>
                <w:b/>
                <w:sz w:val="22"/>
                <w:szCs w:val="22"/>
              </w:rPr>
              <w:t>omoting</w:t>
            </w:r>
            <w:r w:rsidR="00223036" w:rsidRPr="004313E9">
              <w:rPr>
                <w:rFonts w:ascii="Arial" w:hAnsi="Arial" w:cs="Arial"/>
                <w:b/>
                <w:sz w:val="22"/>
                <w:szCs w:val="22"/>
              </w:rPr>
              <w:t xml:space="preserve"> Equity in Childhoo</w:t>
            </w:r>
            <w:r w:rsidR="002D5B10" w:rsidRPr="004313E9">
              <w:rPr>
                <w:rFonts w:ascii="Arial" w:hAnsi="Arial" w:cs="Arial"/>
                <w:b/>
                <w:sz w:val="22"/>
                <w:szCs w:val="22"/>
              </w:rPr>
              <w:t>d Immunisation</w:t>
            </w:r>
            <w:r w:rsidR="00B94D22" w:rsidRPr="004313E9">
              <w:rPr>
                <w:rFonts w:ascii="Arial" w:hAnsi="Arial" w:cs="Arial"/>
                <w:b/>
                <w:sz w:val="22"/>
                <w:szCs w:val="22"/>
              </w:rPr>
              <w:t xml:space="preserve"> through Innovative </w:t>
            </w:r>
            <w:r w:rsidR="002D5B10" w:rsidRPr="004313E9">
              <w:rPr>
                <w:rFonts w:ascii="Arial" w:hAnsi="Arial" w:cs="Arial"/>
                <w:b/>
                <w:sz w:val="22"/>
                <w:szCs w:val="22"/>
              </w:rPr>
              <w:t xml:space="preserve">Health </w:t>
            </w:r>
            <w:r w:rsidR="00227AA5" w:rsidRPr="004313E9">
              <w:rPr>
                <w:rFonts w:ascii="Arial" w:hAnsi="Arial" w:cs="Arial"/>
                <w:b/>
                <w:sz w:val="22"/>
                <w:szCs w:val="22"/>
              </w:rPr>
              <w:t xml:space="preserve">Promotion </w:t>
            </w:r>
            <w:r w:rsidR="002D5B10" w:rsidRPr="004313E9">
              <w:rPr>
                <w:rFonts w:ascii="Arial" w:hAnsi="Arial" w:cs="Arial"/>
                <w:b/>
                <w:sz w:val="22"/>
                <w:szCs w:val="22"/>
              </w:rPr>
              <w:t>Leadership</w:t>
            </w:r>
          </w:p>
        </w:tc>
      </w:tr>
      <w:tr w:rsidR="002B7FC8" w:rsidRPr="008F365D" w14:paraId="0FB9C3D4" w14:textId="77777777" w:rsidTr="00D71EFE">
        <w:trPr>
          <w:trHeight w:val="7663"/>
        </w:trPr>
        <w:tc>
          <w:tcPr>
            <w:tcW w:w="8640" w:type="dxa"/>
          </w:tcPr>
          <w:p w14:paraId="61246513" w14:textId="77777777" w:rsidR="00DA7A71" w:rsidRPr="00926C05" w:rsidRDefault="0025023F" w:rsidP="00E90F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6C05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4C467114" w14:textId="234DD56B" w:rsidR="00DA7A71" w:rsidRDefault="00F909D5" w:rsidP="00E90FF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lang w:val="en"/>
              </w:rPr>
              <w:t>Internationally, c</w:t>
            </w:r>
            <w:r w:rsidR="00FA1977" w:rsidRPr="00926C05"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lang w:val="en"/>
              </w:rPr>
              <w:t xml:space="preserve">hildhood immunisation is </w:t>
            </w:r>
            <w:r w:rsidR="00DC0A3C"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lang w:val="en"/>
              </w:rPr>
              <w:t xml:space="preserve">regarded as </w:t>
            </w:r>
            <w:r w:rsidR="00FA1977" w:rsidRPr="00926C05"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lang w:val="en"/>
              </w:rPr>
              <w:t>one of the most</w:t>
            </w:r>
            <w:r w:rsidR="009B7CA6" w:rsidRPr="00926C05"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lang w:val="en"/>
              </w:rPr>
              <w:t xml:space="preserve"> </w:t>
            </w:r>
            <w:r w:rsidR="00FA1977" w:rsidRPr="00926C05"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lang w:val="en"/>
              </w:rPr>
              <w:t>cost-effective</w:t>
            </w:r>
            <w:r w:rsidR="009B7CA6" w:rsidRPr="00926C05"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lang w:val="en"/>
              </w:rPr>
              <w:t xml:space="preserve"> and beneficial</w:t>
            </w:r>
            <w:r w:rsidR="00FA1977" w:rsidRPr="00926C05"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lang w:val="en"/>
              </w:rPr>
              <w:t xml:space="preserve"> health care interventions</w:t>
            </w:r>
            <w:r w:rsidR="00FA1977" w:rsidRPr="00926C05"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vertAlign w:val="superscript"/>
                <w:lang w:val="en"/>
              </w:rPr>
              <w:endnoteReference w:id="1"/>
            </w:r>
            <w:r w:rsidR="00782C99" w:rsidRPr="00926C05">
              <w:rPr>
                <w:rFonts w:ascii="Arial" w:hAnsi="Arial" w:cs="Arial"/>
                <w:bCs/>
                <w:color w:val="000000"/>
                <w:kern w:val="32"/>
                <w:sz w:val="22"/>
                <w:szCs w:val="22"/>
                <w:lang w:val="en"/>
              </w:rPr>
              <w:t xml:space="preserve">. </w:t>
            </w:r>
            <w:r w:rsidR="002E0C0C" w:rsidRPr="00926C05">
              <w:rPr>
                <w:rFonts w:ascii="Arial" w:hAnsi="Arial" w:cs="Arial"/>
                <w:color w:val="000000"/>
                <w:sz w:val="22"/>
                <w:szCs w:val="22"/>
              </w:rPr>
              <w:t>All children should benefit from immunisation regardless of wh</w:t>
            </w:r>
            <w:r w:rsidR="00782C99" w:rsidRPr="00926C05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849A6" w:rsidRPr="00926C05">
              <w:rPr>
                <w:rFonts w:ascii="Arial" w:hAnsi="Arial" w:cs="Arial"/>
                <w:color w:val="000000"/>
                <w:sz w:val="22"/>
                <w:szCs w:val="22"/>
              </w:rPr>
              <w:t>re they live and who they are</w:t>
            </w:r>
            <w:r w:rsidR="00DD47F7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DC0A3C">
              <w:rPr>
                <w:rFonts w:ascii="Arial" w:hAnsi="Arial" w:cs="Arial"/>
                <w:color w:val="000000"/>
                <w:sz w:val="22"/>
                <w:szCs w:val="22"/>
              </w:rPr>
              <w:t>The World Health Organization states that promoting more equitable access to immunisation must remain a core goal</w:t>
            </w:r>
            <w:r w:rsidR="00DC0A3C">
              <w:rPr>
                <w:rStyle w:val="EndnoteReference"/>
                <w:rFonts w:ascii="Arial" w:hAnsi="Arial" w:cs="Arial"/>
                <w:color w:val="000000"/>
                <w:sz w:val="22"/>
                <w:szCs w:val="22"/>
              </w:rPr>
              <w:endnoteReference w:id="2"/>
            </w:r>
            <w:r w:rsidR="00DC0A3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DD47F7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C0A3C">
              <w:rPr>
                <w:rFonts w:ascii="Arial" w:hAnsi="Arial" w:cs="Arial"/>
                <w:color w:val="000000"/>
                <w:sz w:val="22"/>
                <w:szCs w:val="22"/>
              </w:rPr>
              <w:t xml:space="preserve">In New Zealand, </w:t>
            </w:r>
            <w:r w:rsidR="002849A6" w:rsidRPr="00926C0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782C99" w:rsidRPr="00926C05">
              <w:rPr>
                <w:rFonts w:ascii="Arial" w:hAnsi="Arial" w:cs="Arial"/>
                <w:color w:val="000000"/>
                <w:sz w:val="22"/>
                <w:szCs w:val="22"/>
              </w:rPr>
              <w:t>ignificant socio-economic, ethnic and geographic inequities exist in immu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nisation coverage</w:t>
            </w:r>
            <w:r w:rsidR="00782C99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9B7CA6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An </w:t>
            </w:r>
            <w:r w:rsidR="00E966D8" w:rsidRPr="00926C05">
              <w:rPr>
                <w:rFonts w:ascii="Arial" w:hAnsi="Arial" w:cs="Arial"/>
                <w:color w:val="000000"/>
                <w:sz w:val="22"/>
                <w:szCs w:val="22"/>
              </w:rPr>
              <w:t>active</w:t>
            </w:r>
            <w:r w:rsidR="002E0C0C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response </w:t>
            </w:r>
            <w:r w:rsidR="009B7CA6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is required to address disparities </w:t>
            </w:r>
            <w:r w:rsidR="00B61654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="009B7CA6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immunisation access and utilisation.</w:t>
            </w:r>
            <w:r w:rsidR="002E0C0C" w:rsidRPr="00926C05">
              <w:rPr>
                <w:rStyle w:val="EndnoteReference"/>
                <w:rFonts w:ascii="Arial" w:hAnsi="Arial" w:cs="Arial"/>
                <w:color w:val="000000"/>
                <w:sz w:val="22"/>
                <w:szCs w:val="22"/>
              </w:rPr>
              <w:endnoteReference w:id="3"/>
            </w:r>
            <w:r w:rsidR="00BF1B19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966D8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Action is </w:t>
            </w:r>
            <w:r w:rsid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required </w:t>
            </w:r>
            <w:r w:rsidR="00BF1B19" w:rsidRPr="00926C05">
              <w:rPr>
                <w:rFonts w:ascii="Arial" w:hAnsi="Arial" w:cs="Arial"/>
                <w:color w:val="000000"/>
                <w:sz w:val="22"/>
                <w:szCs w:val="22"/>
              </w:rPr>
              <w:t>to integrate equity considerations into immunisation service planning.</w:t>
            </w:r>
            <w:r w:rsidR="00873C2F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B7E5F">
              <w:rPr>
                <w:rFonts w:ascii="Arial" w:hAnsi="Arial" w:cs="Arial"/>
                <w:color w:val="000000"/>
                <w:sz w:val="22"/>
                <w:szCs w:val="22"/>
              </w:rPr>
              <w:t>Health Promotion is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3C2F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ideally positioned to advocate </w:t>
            </w:r>
            <w:r w:rsidR="00CD2B1D">
              <w:rPr>
                <w:rFonts w:ascii="Arial" w:hAnsi="Arial" w:cs="Arial"/>
                <w:color w:val="000000"/>
                <w:sz w:val="22"/>
                <w:szCs w:val="22"/>
              </w:rPr>
              <w:t xml:space="preserve">for </w:t>
            </w:r>
            <w:r w:rsidR="00782C99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>hea</w:t>
            </w:r>
            <w:r w:rsidR="00DD47F7" w:rsidRPr="00926C05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>th</w:t>
            </w:r>
            <w:r w:rsidR="00873C2F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equity </w:t>
            </w:r>
            <w:r w:rsidR="00E966D8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agenda and </w:t>
            </w:r>
            <w:r w:rsidR="005041C1" w:rsidRPr="00926C05">
              <w:rPr>
                <w:rFonts w:ascii="Arial" w:hAnsi="Arial" w:cs="Arial"/>
                <w:color w:val="000000"/>
                <w:sz w:val="22"/>
                <w:szCs w:val="22"/>
              </w:rPr>
              <w:t>possess</w:t>
            </w:r>
            <w:r w:rsidR="00DB65A6">
              <w:rPr>
                <w:rFonts w:ascii="Arial" w:hAnsi="Arial" w:cs="Arial"/>
                <w:color w:val="000000"/>
                <w:sz w:val="22"/>
                <w:szCs w:val="22"/>
              </w:rPr>
              <w:t>es</w:t>
            </w:r>
            <w:r w:rsidR="005041C1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expertise required to lead the translation of health </w:t>
            </w:r>
            <w:r w:rsidR="00E966D8" w:rsidRPr="00926C05">
              <w:rPr>
                <w:rFonts w:ascii="Arial" w:hAnsi="Arial" w:cs="Arial"/>
                <w:color w:val="000000"/>
                <w:sz w:val="22"/>
                <w:szCs w:val="22"/>
              </w:rPr>
              <w:t>equity</w:t>
            </w:r>
            <w:r w:rsidR="005041C1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rhetoric </w:t>
            </w:r>
            <w:r w:rsidR="00E966D8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into </w:t>
            </w:r>
            <w:r w:rsidR="00C832E2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equity focused 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>action</w:t>
            </w:r>
            <w:r w:rsidR="00C832E2" w:rsidRPr="00926C05">
              <w:rPr>
                <w:rFonts w:ascii="Arial" w:hAnsi="Arial" w:cs="Arial"/>
                <w:color w:val="000000"/>
                <w:sz w:val="22"/>
                <w:szCs w:val="22"/>
              </w:rPr>
              <w:t>s and outcomes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01212A" w14:textId="77777777" w:rsidR="004313E9" w:rsidRPr="00926C05" w:rsidRDefault="004313E9" w:rsidP="00E90FF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7E73C397" w14:textId="77777777" w:rsidR="00DA7A71" w:rsidRPr="00926C05" w:rsidRDefault="0025023F" w:rsidP="00E90F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6C05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3A236267" w14:textId="154371B2" w:rsidR="00BF1B19" w:rsidRDefault="002E0C0C" w:rsidP="00E90FF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In 2017 the Taranaki 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="00F909D5">
              <w:rPr>
                <w:rFonts w:ascii="Arial" w:hAnsi="Arial" w:cs="Arial"/>
                <w:color w:val="000000"/>
                <w:sz w:val="22"/>
                <w:szCs w:val="22"/>
              </w:rPr>
              <w:t xml:space="preserve">istrict Health 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="00F909D5">
              <w:rPr>
                <w:rFonts w:ascii="Arial" w:hAnsi="Arial" w:cs="Arial"/>
                <w:color w:val="000000"/>
                <w:sz w:val="22"/>
                <w:szCs w:val="22"/>
              </w:rPr>
              <w:t>oard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led a Health Equity Assessment </w:t>
            </w:r>
            <w:r w:rsidR="002964E5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(HEA) 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of </w:t>
            </w:r>
            <w:r w:rsidR="001B5106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4E7C2A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mmunisation </w:t>
            </w:r>
            <w:r w:rsidR="002849A6" w:rsidRPr="00926C05">
              <w:rPr>
                <w:rFonts w:ascii="Arial" w:hAnsi="Arial" w:cs="Arial"/>
                <w:color w:val="000000"/>
                <w:sz w:val="22"/>
                <w:szCs w:val="22"/>
              </w:rPr>
              <w:t>in Taranak</w:t>
            </w:r>
            <w:r w:rsidR="00C832E2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i. By </w:t>
            </w:r>
            <w:r w:rsidR="002D5B10" w:rsidRPr="00926C05">
              <w:rPr>
                <w:rFonts w:ascii="Arial" w:hAnsi="Arial" w:cs="Arial"/>
                <w:color w:val="000000"/>
                <w:sz w:val="22"/>
                <w:szCs w:val="22"/>
              </w:rPr>
              <w:t>employing an innovative, locally developed process</w:t>
            </w:r>
            <w:r w:rsidR="00C832E2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t</w:t>
            </w:r>
            <w:r w:rsidR="002D5B10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he </w:t>
            </w:r>
            <w:r w:rsidR="00917A16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HEA </w:t>
            </w:r>
            <w:r w:rsidR="002D5B10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aimed to </w:t>
            </w:r>
            <w:r w:rsidR="001E6E0D">
              <w:rPr>
                <w:rFonts w:ascii="Arial" w:hAnsi="Arial" w:cs="Arial"/>
                <w:color w:val="000000"/>
                <w:sz w:val="22"/>
                <w:szCs w:val="22"/>
              </w:rPr>
              <w:t>cast attention on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existing inequities in childhood immunisation coverage in Taranaki and identify service improvement opportunities to address </w:t>
            </w:r>
            <w:r w:rsidR="002D5B10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unfair </w:t>
            </w:r>
            <w:r w:rsidR="00C832E2" w:rsidRPr="00926C05">
              <w:rPr>
                <w:rFonts w:ascii="Arial" w:hAnsi="Arial" w:cs="Arial"/>
                <w:color w:val="000000"/>
                <w:sz w:val="22"/>
                <w:szCs w:val="22"/>
              </w:rPr>
              <w:t>immunisation disparities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A00CA" w:rsidRPr="00926C05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>he Ministry of Health 2008 Health Equity Assessment Tool (HEAT)</w:t>
            </w:r>
            <w:r w:rsidRPr="00926C05">
              <w:rPr>
                <w:rStyle w:val="EndnoteReference"/>
                <w:rFonts w:ascii="Arial" w:hAnsi="Arial" w:cs="Arial"/>
                <w:color w:val="000000"/>
                <w:sz w:val="22"/>
                <w:szCs w:val="22"/>
              </w:rPr>
              <w:endnoteReference w:id="4"/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was </w:t>
            </w:r>
            <w:r w:rsidR="001E6E0D">
              <w:rPr>
                <w:rFonts w:ascii="Arial" w:hAnsi="Arial" w:cs="Arial"/>
                <w:color w:val="000000"/>
                <w:sz w:val="22"/>
                <w:szCs w:val="22"/>
              </w:rPr>
              <w:t xml:space="preserve">employed to frame the health equity analysis. Evidence was 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collected </w:t>
            </w:r>
            <w:r w:rsidR="00DC0A3C">
              <w:rPr>
                <w:rFonts w:ascii="Arial" w:hAnsi="Arial" w:cs="Arial"/>
                <w:color w:val="000000"/>
                <w:sz w:val="22"/>
                <w:szCs w:val="22"/>
              </w:rPr>
              <w:t>from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a stakeholder workshop, 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>key informant interviews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917A16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consumer </w:t>
            </w:r>
            <w:r w:rsidR="00DD6463">
              <w:rPr>
                <w:rFonts w:ascii="Arial" w:hAnsi="Arial" w:cs="Arial"/>
                <w:color w:val="000000"/>
                <w:sz w:val="22"/>
                <w:szCs w:val="22"/>
              </w:rPr>
              <w:t>interviews and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focus group</w:t>
            </w:r>
            <w:r w:rsidR="00A37F33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data </w:t>
            </w:r>
            <w:r w:rsidR="00A37F33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analysis 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>and a literature review</w:t>
            </w:r>
            <w:r w:rsidR="002964E5" w:rsidRPr="00926C0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D6463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BF1B19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leven 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>recommendations</w:t>
            </w:r>
            <w:r w:rsidR="00EB7E5F">
              <w:rPr>
                <w:rFonts w:ascii="Arial" w:hAnsi="Arial" w:cs="Arial"/>
                <w:color w:val="000000"/>
                <w:sz w:val="22"/>
                <w:szCs w:val="22"/>
              </w:rPr>
              <w:t xml:space="preserve"> were</w:t>
            </w:r>
            <w:r w:rsidR="00B0481C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B7E5F">
              <w:rPr>
                <w:rFonts w:ascii="Arial" w:hAnsi="Arial" w:cs="Arial"/>
                <w:color w:val="000000"/>
                <w:sz w:val="22"/>
                <w:szCs w:val="22"/>
              </w:rPr>
              <w:t xml:space="preserve">made </w:t>
            </w:r>
            <w:r w:rsidR="00BF1B19" w:rsidRPr="00926C05"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917A16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the</w:t>
            </w:r>
            <w:r w:rsidR="00BF1B19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B7E5F">
              <w:rPr>
                <w:rFonts w:ascii="Arial" w:hAnsi="Arial" w:cs="Arial"/>
                <w:color w:val="000000"/>
                <w:sz w:val="22"/>
                <w:szCs w:val="22"/>
              </w:rPr>
              <w:t>immunisation s</w:t>
            </w:r>
            <w:r w:rsidR="00F909D5">
              <w:rPr>
                <w:rFonts w:ascii="Arial" w:hAnsi="Arial" w:cs="Arial"/>
                <w:color w:val="000000"/>
                <w:sz w:val="22"/>
                <w:szCs w:val="22"/>
              </w:rPr>
              <w:t>ervice</w:t>
            </w:r>
            <w:r w:rsidR="001E6E0D">
              <w:rPr>
                <w:rFonts w:ascii="Arial" w:hAnsi="Arial" w:cs="Arial"/>
                <w:color w:val="000000"/>
                <w:sz w:val="22"/>
                <w:szCs w:val="22"/>
              </w:rPr>
              <w:t xml:space="preserve"> to improve equitable access to immunisation.</w:t>
            </w:r>
          </w:p>
          <w:p w14:paraId="576D7588" w14:textId="77777777" w:rsidR="004313E9" w:rsidRPr="00926C05" w:rsidRDefault="004313E9" w:rsidP="00E90FF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0A18FF" w14:textId="77777777" w:rsidR="00DA7A71" w:rsidRPr="00926C05" w:rsidRDefault="0025023F" w:rsidP="00E90F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6C05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7A6D9539" w14:textId="1D42C145" w:rsidR="004B7D91" w:rsidRDefault="002E0C0C" w:rsidP="00E90FF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T</w:t>
            </w:r>
            <w:r w:rsidR="001A78CD"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he</w:t>
            </w:r>
            <w:r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</w:t>
            </w:r>
            <w:r w:rsidR="002964E5"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HEA</w:t>
            </w:r>
            <w:r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highlighted existing geographical, ethnic and socio-economic inequities</w:t>
            </w:r>
            <w:r w:rsidR="00917A16"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and barriers to</w:t>
            </w:r>
            <w:r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achieving timely immunisation coverage. </w:t>
            </w:r>
            <w:r w:rsidR="00A177F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It </w:t>
            </w:r>
            <w:r w:rsidR="00917A16" w:rsidRPr="00926C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identified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 range of opportunities to strengthen </w:t>
            </w:r>
            <w:r w:rsidR="00C832E2" w:rsidRPr="00926C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service </w:t>
            </w:r>
            <w:r w:rsidRPr="00926C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equity</w:t>
            </w:r>
            <w:r w:rsidR="00A65FBD" w:rsidRPr="00926C0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emphasizing </w:t>
            </w:r>
            <w:r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that </w:t>
            </w:r>
            <w:proofErr w:type="gramStart"/>
            <w:r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a number of</w:t>
            </w:r>
            <w:proofErr w:type="gramEnd"/>
            <w:r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 xml:space="preserve"> strategies are required at multiple levels to tackle persisting </w:t>
            </w:r>
            <w:r w:rsidR="002964E5" w:rsidRPr="00926C05">
              <w:rPr>
                <w:rFonts w:ascii="Arial" w:hAnsi="Arial" w:cs="Arial"/>
                <w:bCs/>
                <w:sz w:val="22"/>
                <w:szCs w:val="22"/>
                <w:lang w:eastAsia="ja-JP"/>
              </w:rPr>
              <w:t>inequities.</w:t>
            </w:r>
            <w:r w:rsidR="002964E5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The</w:t>
            </w:r>
            <w:r w:rsidR="00B61654">
              <w:rPr>
                <w:rFonts w:ascii="Arial" w:hAnsi="Arial" w:cs="Arial"/>
                <w:color w:val="000000"/>
                <w:sz w:val="22"/>
                <w:szCs w:val="22"/>
              </w:rPr>
              <w:t xml:space="preserve"> childhood i</w:t>
            </w:r>
            <w:r w:rsidR="00B42547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mmunisation </w:t>
            </w:r>
            <w:r w:rsidR="00B61654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2A00CA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ervice </w:t>
            </w:r>
            <w:r w:rsidR="00873C2F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formally accepted the </w:t>
            </w:r>
            <w:r w:rsidR="002964E5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HEA </w:t>
            </w:r>
            <w:r w:rsidR="00873C2F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findings and </w:t>
            </w:r>
            <w:r w:rsidR="00B42547" w:rsidRPr="00926C05">
              <w:rPr>
                <w:rFonts w:ascii="Arial" w:hAnsi="Arial" w:cs="Arial"/>
                <w:color w:val="000000"/>
                <w:sz w:val="22"/>
                <w:szCs w:val="22"/>
              </w:rPr>
              <w:t>prioritised the recommendations to</w:t>
            </w:r>
            <w:r w:rsidR="00782C99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 guide </w:t>
            </w:r>
            <w:r w:rsidR="00C832E2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strategic and </w:t>
            </w:r>
            <w:r w:rsidR="00E90FF1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collaborative </w:t>
            </w:r>
            <w:r w:rsidR="00782C99" w:rsidRPr="00926C05">
              <w:rPr>
                <w:rFonts w:ascii="Arial" w:hAnsi="Arial" w:cs="Arial"/>
                <w:color w:val="000000"/>
                <w:sz w:val="22"/>
                <w:szCs w:val="22"/>
              </w:rPr>
              <w:t xml:space="preserve">planning. </w:t>
            </w:r>
            <w:r w:rsidR="00E90FF1" w:rsidRPr="00926C05">
              <w:rPr>
                <w:rFonts w:ascii="Arial" w:hAnsi="Arial" w:cs="Arial"/>
                <w:color w:val="000000"/>
                <w:sz w:val="22"/>
                <w:szCs w:val="22"/>
              </w:rPr>
              <w:t>The HEA raised awareness of inequities in immunisation amongst stakeholders and has directly impacted on service planning decisions which are now driven by a stronger health equity lens.</w:t>
            </w:r>
          </w:p>
          <w:p w14:paraId="24FD25E5" w14:textId="77777777" w:rsidR="004313E9" w:rsidRPr="00926C05" w:rsidRDefault="004313E9" w:rsidP="00E90F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EC1999" w14:textId="77777777" w:rsidR="004B7D91" w:rsidRPr="00926C05" w:rsidRDefault="0025023F" w:rsidP="00E90F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6C05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39EEB09" w14:textId="77777777" w:rsidR="00C978A6" w:rsidRPr="00926C05" w:rsidRDefault="006F3118" w:rsidP="00E90FF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6C05">
              <w:rPr>
                <w:rFonts w:ascii="Arial" w:hAnsi="Arial" w:cs="Arial"/>
                <w:sz w:val="22"/>
                <w:szCs w:val="22"/>
              </w:rPr>
              <w:t xml:space="preserve">This case study </w:t>
            </w:r>
            <w:r w:rsidR="00E1115A" w:rsidRPr="00926C05">
              <w:rPr>
                <w:rFonts w:ascii="Arial" w:hAnsi="Arial" w:cs="Arial"/>
                <w:sz w:val="22"/>
                <w:szCs w:val="22"/>
              </w:rPr>
              <w:t>demonstrates th</w:t>
            </w:r>
            <w:r w:rsidR="00223036" w:rsidRPr="00926C05">
              <w:rPr>
                <w:rFonts w:ascii="Arial" w:hAnsi="Arial" w:cs="Arial"/>
                <w:sz w:val="22"/>
                <w:szCs w:val="22"/>
              </w:rPr>
              <w:t>e po</w:t>
            </w:r>
            <w:r w:rsidRPr="00926C05">
              <w:rPr>
                <w:rFonts w:ascii="Arial" w:hAnsi="Arial" w:cs="Arial"/>
                <w:sz w:val="22"/>
                <w:szCs w:val="22"/>
              </w:rPr>
              <w:t>tential for</w:t>
            </w:r>
            <w:r w:rsidR="00223036" w:rsidRPr="00926C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7E5F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="00223036" w:rsidRPr="00926C05">
              <w:rPr>
                <w:rFonts w:ascii="Arial" w:hAnsi="Arial" w:cs="Arial"/>
                <w:sz w:val="22"/>
                <w:szCs w:val="22"/>
              </w:rPr>
              <w:t xml:space="preserve">to advocate </w:t>
            </w:r>
            <w:r w:rsidRPr="00926C05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EB7E5F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Pr="00926C05">
              <w:rPr>
                <w:rFonts w:ascii="Arial" w:hAnsi="Arial" w:cs="Arial"/>
                <w:sz w:val="22"/>
                <w:szCs w:val="22"/>
              </w:rPr>
              <w:t xml:space="preserve">equity within </w:t>
            </w:r>
            <w:r w:rsidR="00DC0A3C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926C05">
              <w:rPr>
                <w:rFonts w:ascii="Arial" w:hAnsi="Arial" w:cs="Arial"/>
                <w:sz w:val="22"/>
                <w:szCs w:val="22"/>
              </w:rPr>
              <w:t xml:space="preserve"> planning practices by </w:t>
            </w:r>
            <w:r w:rsidR="008C3EDD">
              <w:rPr>
                <w:rFonts w:ascii="Arial" w:hAnsi="Arial" w:cs="Arial"/>
                <w:sz w:val="22"/>
                <w:szCs w:val="22"/>
              </w:rPr>
              <w:t>utilising equity tools such as the HEAT tool</w:t>
            </w:r>
            <w:r w:rsidR="004149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A1013F" w14:textId="3EC8400C" w:rsidR="00DA7A71" w:rsidRPr="00926C05" w:rsidRDefault="0025023F" w:rsidP="004313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C05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926C05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4313E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153DD" w:rsidRPr="00926C05">
              <w:rPr>
                <w:rFonts w:ascii="Arial" w:hAnsi="Arial" w:cs="Arial"/>
                <w:sz w:val="22"/>
                <w:szCs w:val="22"/>
              </w:rPr>
              <w:t xml:space="preserve">Oral presentation </w:t>
            </w:r>
          </w:p>
        </w:tc>
      </w:tr>
    </w:tbl>
    <w:p w14:paraId="649A4BBE" w14:textId="77777777" w:rsidR="002E0C0C" w:rsidRPr="008F365D" w:rsidRDefault="002E0C0C" w:rsidP="004313E9">
      <w:pPr>
        <w:jc w:val="both"/>
        <w:rPr>
          <w:rFonts w:ascii="Arial" w:hAnsi="Arial" w:cs="Arial"/>
          <w:sz w:val="22"/>
          <w:szCs w:val="22"/>
        </w:rPr>
      </w:pPr>
    </w:p>
    <w:sectPr w:rsidR="002E0C0C" w:rsidRPr="008F365D">
      <w:endnotePr>
        <w:numFmt w:val="decimal"/>
      </w:endnote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C313" w14:textId="77777777" w:rsidR="00932807" w:rsidRDefault="00932807" w:rsidP="002E0C0C">
      <w:r>
        <w:separator/>
      </w:r>
    </w:p>
  </w:endnote>
  <w:endnote w:type="continuationSeparator" w:id="0">
    <w:p w14:paraId="03A96EFF" w14:textId="77777777" w:rsidR="00932807" w:rsidRDefault="00932807" w:rsidP="002E0C0C">
      <w:r>
        <w:continuationSeparator/>
      </w:r>
    </w:p>
  </w:endnote>
  <w:endnote w:id="1">
    <w:p w14:paraId="2C549D85" w14:textId="77777777" w:rsidR="00E966D8" w:rsidRPr="0061375E" w:rsidRDefault="00E966D8" w:rsidP="0061375E">
      <w:pPr>
        <w:pStyle w:val="EndnoteText"/>
        <w:spacing w:afterLines="40" w:after="96"/>
        <w:rPr>
          <w:rFonts w:ascii="Arial" w:hAnsi="Arial" w:cs="Arial"/>
          <w:sz w:val="16"/>
          <w:szCs w:val="16"/>
          <w:lang w:val="en-US"/>
        </w:rPr>
      </w:pPr>
      <w:r w:rsidRPr="0061375E">
        <w:rPr>
          <w:rStyle w:val="EndnoteReference"/>
          <w:rFonts w:ascii="Arial" w:hAnsi="Arial" w:cs="Arial"/>
          <w:sz w:val="16"/>
          <w:szCs w:val="16"/>
        </w:rPr>
        <w:endnoteRef/>
      </w:r>
      <w:r w:rsidRPr="0061375E">
        <w:rPr>
          <w:rFonts w:ascii="Arial" w:hAnsi="Arial" w:cs="Arial"/>
          <w:sz w:val="16"/>
          <w:szCs w:val="16"/>
        </w:rPr>
        <w:t xml:space="preserve"> </w:t>
      </w:r>
      <w:r w:rsidRPr="0061375E">
        <w:rPr>
          <w:rFonts w:ascii="Arial" w:hAnsi="Arial" w:cs="Arial"/>
          <w:sz w:val="16"/>
          <w:szCs w:val="16"/>
          <w:lang w:val="en-US"/>
        </w:rPr>
        <w:t xml:space="preserve">Turner, N. (2012) The challenge of improving immunization coverage: </w:t>
      </w:r>
      <w:proofErr w:type="gramStart"/>
      <w:r w:rsidRPr="0061375E">
        <w:rPr>
          <w:rFonts w:ascii="Arial" w:hAnsi="Arial" w:cs="Arial"/>
          <w:sz w:val="16"/>
          <w:szCs w:val="16"/>
          <w:lang w:val="en-US"/>
        </w:rPr>
        <w:t>the</w:t>
      </w:r>
      <w:proofErr w:type="gramEnd"/>
      <w:r w:rsidRPr="0061375E">
        <w:rPr>
          <w:rFonts w:ascii="Arial" w:hAnsi="Arial" w:cs="Arial"/>
          <w:sz w:val="16"/>
          <w:szCs w:val="16"/>
          <w:lang w:val="en-US"/>
        </w:rPr>
        <w:t xml:space="preserve"> New Zealand example. Expert review of vaccines 11:1, 9-11. DOI: 10.1586/erv.11.157</w:t>
      </w:r>
    </w:p>
  </w:endnote>
  <w:endnote w:id="2">
    <w:p w14:paraId="452BC28B" w14:textId="77777777" w:rsidR="00790D33" w:rsidRPr="0061375E" w:rsidRDefault="00DC0A3C" w:rsidP="00790D33">
      <w:pPr>
        <w:pStyle w:val="EndnoteText"/>
        <w:rPr>
          <w:rFonts w:ascii="Arial" w:hAnsi="Arial"/>
          <w:sz w:val="16"/>
          <w:szCs w:val="16"/>
          <w:lang w:val="en-US"/>
        </w:rPr>
      </w:pPr>
      <w:r w:rsidRPr="0061375E">
        <w:rPr>
          <w:rStyle w:val="EndnoteReference"/>
          <w:rFonts w:ascii="Arial" w:hAnsi="Arial"/>
          <w:sz w:val="16"/>
          <w:szCs w:val="16"/>
        </w:rPr>
        <w:endnoteRef/>
      </w:r>
      <w:r w:rsidRPr="0061375E">
        <w:rPr>
          <w:rFonts w:ascii="Arial" w:hAnsi="Arial"/>
          <w:sz w:val="16"/>
          <w:szCs w:val="16"/>
        </w:rPr>
        <w:t xml:space="preserve"> </w:t>
      </w:r>
      <w:r w:rsidRPr="0061375E">
        <w:rPr>
          <w:rFonts w:ascii="Arial" w:hAnsi="Arial"/>
          <w:sz w:val="16"/>
          <w:szCs w:val="16"/>
          <w:lang w:val="en-US"/>
        </w:rPr>
        <w:t>World Health Organization. (2017). 2017 Assessment Report of the Global Vaccine Action Plan Strategic Advisory Group of Experts on Immunization. Geneva: WHO. Licence: CC BY-NC-SA 3.0 IGO.</w:t>
      </w:r>
    </w:p>
  </w:endnote>
  <w:endnote w:id="3">
    <w:p w14:paraId="3AD3366C" w14:textId="77777777" w:rsidR="00E966D8" w:rsidRPr="0061375E" w:rsidRDefault="00E966D8" w:rsidP="0061375E">
      <w:pPr>
        <w:pStyle w:val="EndnoteText"/>
        <w:spacing w:afterLines="40" w:after="96"/>
        <w:rPr>
          <w:rFonts w:ascii="Arial" w:hAnsi="Arial" w:cs="Arial"/>
          <w:sz w:val="16"/>
          <w:szCs w:val="16"/>
          <w:lang w:val="en-US"/>
        </w:rPr>
      </w:pPr>
      <w:r w:rsidRPr="0061375E">
        <w:rPr>
          <w:rStyle w:val="EndnoteReference"/>
          <w:rFonts w:ascii="Arial" w:hAnsi="Arial"/>
          <w:sz w:val="16"/>
          <w:szCs w:val="16"/>
        </w:rPr>
        <w:endnoteRef/>
      </w:r>
      <w:r w:rsidRPr="0061375E">
        <w:rPr>
          <w:rFonts w:ascii="Arial" w:hAnsi="Arial"/>
          <w:sz w:val="16"/>
          <w:szCs w:val="16"/>
        </w:rPr>
        <w:t xml:space="preserve"> </w:t>
      </w:r>
      <w:r w:rsidRPr="0061375E">
        <w:rPr>
          <w:rFonts w:ascii="Arial" w:hAnsi="Arial" w:cs="Arial"/>
          <w:sz w:val="16"/>
          <w:szCs w:val="16"/>
          <w:lang w:val="en-US"/>
        </w:rPr>
        <w:t xml:space="preserve">Brearley, L., Eggers, R., </w:t>
      </w:r>
      <w:proofErr w:type="spellStart"/>
      <w:r w:rsidRPr="0061375E">
        <w:rPr>
          <w:rFonts w:ascii="Arial" w:hAnsi="Arial" w:cs="Arial"/>
          <w:sz w:val="16"/>
          <w:szCs w:val="16"/>
          <w:lang w:val="en-US"/>
        </w:rPr>
        <w:t>Steinglass</w:t>
      </w:r>
      <w:proofErr w:type="spellEnd"/>
      <w:r w:rsidRPr="0061375E">
        <w:rPr>
          <w:rFonts w:ascii="Arial" w:hAnsi="Arial" w:cs="Arial"/>
          <w:sz w:val="16"/>
          <w:szCs w:val="16"/>
          <w:lang w:val="en-US"/>
        </w:rPr>
        <w:t xml:space="preserve">, R., &amp; </w:t>
      </w:r>
      <w:proofErr w:type="spellStart"/>
      <w:r w:rsidRPr="0061375E">
        <w:rPr>
          <w:rFonts w:ascii="Arial" w:hAnsi="Arial" w:cs="Arial"/>
          <w:sz w:val="16"/>
          <w:szCs w:val="16"/>
          <w:lang w:val="en-US"/>
        </w:rPr>
        <w:t>Vandelaer</w:t>
      </w:r>
      <w:proofErr w:type="spellEnd"/>
      <w:r w:rsidRPr="0061375E">
        <w:rPr>
          <w:rFonts w:ascii="Arial" w:hAnsi="Arial" w:cs="Arial"/>
          <w:sz w:val="16"/>
          <w:szCs w:val="16"/>
          <w:lang w:val="en-US"/>
        </w:rPr>
        <w:t>, J. (2013). Applying an equity lens in the Decade of Vaccines. Vaccine, 31, B103-B107.</w:t>
      </w:r>
    </w:p>
  </w:endnote>
  <w:endnote w:id="4">
    <w:p w14:paraId="53DBA49A" w14:textId="77777777" w:rsidR="00E966D8" w:rsidRPr="0061375E" w:rsidRDefault="00E966D8" w:rsidP="00790D33">
      <w:pPr>
        <w:pStyle w:val="EndnoteText"/>
        <w:rPr>
          <w:rFonts w:ascii="Arial" w:hAnsi="Arial"/>
          <w:sz w:val="16"/>
          <w:szCs w:val="16"/>
          <w:lang w:val="en-US"/>
        </w:rPr>
      </w:pPr>
      <w:r w:rsidRPr="0061375E">
        <w:rPr>
          <w:rStyle w:val="EndnoteReference"/>
          <w:rFonts w:ascii="Arial" w:hAnsi="Arial"/>
          <w:sz w:val="16"/>
          <w:szCs w:val="16"/>
        </w:rPr>
        <w:endnoteRef/>
      </w:r>
      <w:r w:rsidRPr="0061375E">
        <w:rPr>
          <w:rFonts w:ascii="Arial" w:hAnsi="Arial"/>
          <w:sz w:val="16"/>
          <w:szCs w:val="16"/>
        </w:rPr>
        <w:t xml:space="preserve"> </w:t>
      </w:r>
      <w:r w:rsidRPr="0061375E">
        <w:rPr>
          <w:rFonts w:ascii="Arial" w:hAnsi="Arial" w:cs="Arial"/>
          <w:sz w:val="16"/>
          <w:szCs w:val="16"/>
          <w:lang w:val="en-US"/>
        </w:rPr>
        <w:t>Signal, L., Martin, J., Cram, F., and Robson, B. (2008) The Health Equity Assessment Tool: A User’s Guide. Wellington: Ministry of Health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8ACEA" w14:textId="77777777" w:rsidR="00932807" w:rsidRDefault="00932807" w:rsidP="002E0C0C">
      <w:r>
        <w:separator/>
      </w:r>
    </w:p>
  </w:footnote>
  <w:footnote w:type="continuationSeparator" w:id="0">
    <w:p w14:paraId="233D8EED" w14:textId="77777777" w:rsidR="00932807" w:rsidRDefault="00932807" w:rsidP="002E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A34E8"/>
    <w:multiLevelType w:val="hybridMultilevel"/>
    <w:tmpl w:val="EE2EDC0A"/>
    <w:lvl w:ilvl="0" w:tplc="1409000F">
      <w:start w:val="1"/>
      <w:numFmt w:val="decimal"/>
      <w:lvlText w:val="%1."/>
      <w:lvlJc w:val="left"/>
      <w:pPr>
        <w:ind w:left="780" w:hanging="360"/>
      </w:pPr>
    </w:lvl>
    <w:lvl w:ilvl="1" w:tplc="14090019" w:tentative="1">
      <w:start w:val="1"/>
      <w:numFmt w:val="lowerLetter"/>
      <w:lvlText w:val="%2."/>
      <w:lvlJc w:val="left"/>
      <w:pPr>
        <w:ind w:left="1500" w:hanging="360"/>
      </w:pPr>
    </w:lvl>
    <w:lvl w:ilvl="2" w:tplc="1409001B" w:tentative="1">
      <w:start w:val="1"/>
      <w:numFmt w:val="lowerRoman"/>
      <w:lvlText w:val="%3."/>
      <w:lvlJc w:val="right"/>
      <w:pPr>
        <w:ind w:left="2220" w:hanging="180"/>
      </w:pPr>
    </w:lvl>
    <w:lvl w:ilvl="3" w:tplc="1409000F" w:tentative="1">
      <w:start w:val="1"/>
      <w:numFmt w:val="decimal"/>
      <w:lvlText w:val="%4."/>
      <w:lvlJc w:val="left"/>
      <w:pPr>
        <w:ind w:left="2940" w:hanging="360"/>
      </w:pPr>
    </w:lvl>
    <w:lvl w:ilvl="4" w:tplc="14090019" w:tentative="1">
      <w:start w:val="1"/>
      <w:numFmt w:val="lowerLetter"/>
      <w:lvlText w:val="%5."/>
      <w:lvlJc w:val="left"/>
      <w:pPr>
        <w:ind w:left="3660" w:hanging="360"/>
      </w:pPr>
    </w:lvl>
    <w:lvl w:ilvl="5" w:tplc="1409001B" w:tentative="1">
      <w:start w:val="1"/>
      <w:numFmt w:val="lowerRoman"/>
      <w:lvlText w:val="%6."/>
      <w:lvlJc w:val="right"/>
      <w:pPr>
        <w:ind w:left="4380" w:hanging="180"/>
      </w:pPr>
    </w:lvl>
    <w:lvl w:ilvl="6" w:tplc="1409000F" w:tentative="1">
      <w:start w:val="1"/>
      <w:numFmt w:val="decimal"/>
      <w:lvlText w:val="%7."/>
      <w:lvlJc w:val="left"/>
      <w:pPr>
        <w:ind w:left="5100" w:hanging="360"/>
      </w:pPr>
    </w:lvl>
    <w:lvl w:ilvl="7" w:tplc="14090019" w:tentative="1">
      <w:start w:val="1"/>
      <w:numFmt w:val="lowerLetter"/>
      <w:lvlText w:val="%8."/>
      <w:lvlJc w:val="left"/>
      <w:pPr>
        <w:ind w:left="5820" w:hanging="360"/>
      </w:pPr>
    </w:lvl>
    <w:lvl w:ilvl="8" w:tplc="1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SwMDU0NjIztzAyNrdQ0lEKTi0uzszPAykwrAUA6SfPSiwAAAA="/>
    <w:docVar w:name="dgnword-docGUID" w:val="{2B48A783-3A25-472D-A245-CF57E218F5CD}"/>
    <w:docVar w:name="dgnword-eventsink" w:val="160371333808"/>
  </w:docVars>
  <w:rsids>
    <w:rsidRoot w:val="00663BFF"/>
    <w:rsid w:val="0000016F"/>
    <w:rsid w:val="00026E39"/>
    <w:rsid w:val="0003525D"/>
    <w:rsid w:val="00077988"/>
    <w:rsid w:val="0008349E"/>
    <w:rsid w:val="00097254"/>
    <w:rsid w:val="000C05CE"/>
    <w:rsid w:val="000E732F"/>
    <w:rsid w:val="00113C77"/>
    <w:rsid w:val="00131D1E"/>
    <w:rsid w:val="001763B5"/>
    <w:rsid w:val="001A78CD"/>
    <w:rsid w:val="001B5106"/>
    <w:rsid w:val="001C3A37"/>
    <w:rsid w:val="001E6E0D"/>
    <w:rsid w:val="00200EEA"/>
    <w:rsid w:val="00211765"/>
    <w:rsid w:val="002153DD"/>
    <w:rsid w:val="00223036"/>
    <w:rsid w:val="00227AA5"/>
    <w:rsid w:val="00230B21"/>
    <w:rsid w:val="00242808"/>
    <w:rsid w:val="0025023F"/>
    <w:rsid w:val="002849A6"/>
    <w:rsid w:val="00294265"/>
    <w:rsid w:val="002964E5"/>
    <w:rsid w:val="002A00CA"/>
    <w:rsid w:val="002B7FC8"/>
    <w:rsid w:val="002D5B10"/>
    <w:rsid w:val="002E0C0C"/>
    <w:rsid w:val="002F34DB"/>
    <w:rsid w:val="00317FFE"/>
    <w:rsid w:val="00363AF7"/>
    <w:rsid w:val="00397CB9"/>
    <w:rsid w:val="003A6236"/>
    <w:rsid w:val="003B15A7"/>
    <w:rsid w:val="003F596D"/>
    <w:rsid w:val="0041499E"/>
    <w:rsid w:val="004313E9"/>
    <w:rsid w:val="00464A25"/>
    <w:rsid w:val="00490208"/>
    <w:rsid w:val="0049058D"/>
    <w:rsid w:val="004B3264"/>
    <w:rsid w:val="004B5B95"/>
    <w:rsid w:val="004B7D91"/>
    <w:rsid w:val="004C45A1"/>
    <w:rsid w:val="004E345D"/>
    <w:rsid w:val="004E7C2A"/>
    <w:rsid w:val="005041C1"/>
    <w:rsid w:val="00533E6F"/>
    <w:rsid w:val="00545827"/>
    <w:rsid w:val="00564331"/>
    <w:rsid w:val="00590824"/>
    <w:rsid w:val="00594A6E"/>
    <w:rsid w:val="005F7DC7"/>
    <w:rsid w:val="006010A2"/>
    <w:rsid w:val="0061375E"/>
    <w:rsid w:val="006605DB"/>
    <w:rsid w:val="00663BFF"/>
    <w:rsid w:val="006C6E32"/>
    <w:rsid w:val="006F3118"/>
    <w:rsid w:val="0070252B"/>
    <w:rsid w:val="00714C46"/>
    <w:rsid w:val="00782C99"/>
    <w:rsid w:val="00790D33"/>
    <w:rsid w:val="00796279"/>
    <w:rsid w:val="00797724"/>
    <w:rsid w:val="007A2A9C"/>
    <w:rsid w:val="007D6AE9"/>
    <w:rsid w:val="007E61BA"/>
    <w:rsid w:val="00806DEE"/>
    <w:rsid w:val="0082392D"/>
    <w:rsid w:val="00873B49"/>
    <w:rsid w:val="00873C2F"/>
    <w:rsid w:val="008874BF"/>
    <w:rsid w:val="00897773"/>
    <w:rsid w:val="008A4C67"/>
    <w:rsid w:val="008C05AC"/>
    <w:rsid w:val="008C3EDD"/>
    <w:rsid w:val="008E3646"/>
    <w:rsid w:val="008F365D"/>
    <w:rsid w:val="00917A16"/>
    <w:rsid w:val="00926C05"/>
    <w:rsid w:val="00932377"/>
    <w:rsid w:val="00932807"/>
    <w:rsid w:val="009579B1"/>
    <w:rsid w:val="00976A54"/>
    <w:rsid w:val="00994DCB"/>
    <w:rsid w:val="009B7881"/>
    <w:rsid w:val="009B7CA6"/>
    <w:rsid w:val="009C7B98"/>
    <w:rsid w:val="00A112C8"/>
    <w:rsid w:val="00A177F5"/>
    <w:rsid w:val="00A1780F"/>
    <w:rsid w:val="00A36CAD"/>
    <w:rsid w:val="00A37F33"/>
    <w:rsid w:val="00A56CB8"/>
    <w:rsid w:val="00A65FBD"/>
    <w:rsid w:val="00AA1598"/>
    <w:rsid w:val="00AA5B46"/>
    <w:rsid w:val="00AB42C9"/>
    <w:rsid w:val="00B0481C"/>
    <w:rsid w:val="00B12CD1"/>
    <w:rsid w:val="00B20967"/>
    <w:rsid w:val="00B42547"/>
    <w:rsid w:val="00B51B94"/>
    <w:rsid w:val="00B53073"/>
    <w:rsid w:val="00B61654"/>
    <w:rsid w:val="00B766BF"/>
    <w:rsid w:val="00B94D22"/>
    <w:rsid w:val="00BC5CBE"/>
    <w:rsid w:val="00BF1B19"/>
    <w:rsid w:val="00C211D2"/>
    <w:rsid w:val="00C53AD7"/>
    <w:rsid w:val="00C73E89"/>
    <w:rsid w:val="00C832E2"/>
    <w:rsid w:val="00C84789"/>
    <w:rsid w:val="00C978A6"/>
    <w:rsid w:val="00CA0DE6"/>
    <w:rsid w:val="00CB2597"/>
    <w:rsid w:val="00CB739F"/>
    <w:rsid w:val="00CC5CF2"/>
    <w:rsid w:val="00CD0335"/>
    <w:rsid w:val="00CD2B1D"/>
    <w:rsid w:val="00CE496D"/>
    <w:rsid w:val="00CE5D57"/>
    <w:rsid w:val="00D71EFE"/>
    <w:rsid w:val="00D901A8"/>
    <w:rsid w:val="00DA45EE"/>
    <w:rsid w:val="00DA7A71"/>
    <w:rsid w:val="00DB65A6"/>
    <w:rsid w:val="00DC0A3C"/>
    <w:rsid w:val="00DC2C64"/>
    <w:rsid w:val="00DD47F7"/>
    <w:rsid w:val="00DD6463"/>
    <w:rsid w:val="00DE6D44"/>
    <w:rsid w:val="00E0479B"/>
    <w:rsid w:val="00E1115A"/>
    <w:rsid w:val="00E36AD7"/>
    <w:rsid w:val="00E373DD"/>
    <w:rsid w:val="00E379B4"/>
    <w:rsid w:val="00E458B1"/>
    <w:rsid w:val="00E90FF1"/>
    <w:rsid w:val="00E966D8"/>
    <w:rsid w:val="00EB7E5F"/>
    <w:rsid w:val="00EF7A03"/>
    <w:rsid w:val="00F16B61"/>
    <w:rsid w:val="00F407AD"/>
    <w:rsid w:val="00F86A0C"/>
    <w:rsid w:val="00F909D5"/>
    <w:rsid w:val="00FA1977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10048"/>
  <w15:docId w15:val="{8CF15561-34FF-4BEF-8E08-5EEA8F45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C0C"/>
    <w:pPr>
      <w:keepNext/>
      <w:spacing w:before="240" w:after="60"/>
      <w:outlineLvl w:val="2"/>
    </w:pPr>
    <w:rPr>
      <w:rFonts w:asciiTheme="minorHAnsi" w:hAnsiTheme="minorHAnsi"/>
      <w:b/>
      <w:bCs/>
      <w:sz w:val="22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C0C"/>
    <w:rPr>
      <w:rFonts w:asciiTheme="minorHAnsi" w:hAnsiTheme="minorHAnsi"/>
      <w:b/>
      <w:bCs/>
      <w:sz w:val="22"/>
      <w:szCs w:val="26"/>
      <w:lang w:val="en-AU"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2E0C0C"/>
    <w:rPr>
      <w:rFonts w:asciiTheme="minorHAnsi" w:hAnsiTheme="minorHAnsi"/>
      <w:sz w:val="20"/>
      <w:szCs w:val="20"/>
      <w:lang w:val="en-AU"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E0C0C"/>
    <w:rPr>
      <w:rFonts w:asciiTheme="minorHAnsi" w:hAnsiTheme="minorHAnsi"/>
      <w:lang w:val="en-AU" w:eastAsia="en-AU"/>
    </w:rPr>
  </w:style>
  <w:style w:type="character" w:styleId="EndnoteReference">
    <w:name w:val="endnote reference"/>
    <w:uiPriority w:val="99"/>
    <w:unhideWhenUsed/>
    <w:rsid w:val="002E0C0C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DC0A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0A3C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DC0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438F9-C657-49FD-BF7E-301C731DB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B9B88-33DC-4DF7-90AA-9E8EA3F3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2018-09-03T23:02:00Z</dcterms:created>
  <dcterms:modified xsi:type="dcterms:W3CDTF">2018-09-03T23:02:00Z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