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75BA" w14:textId="12D32C1F" w:rsidR="00CE2E3F" w:rsidRPr="00CE2E3F" w:rsidRDefault="00CE2E3F" w:rsidP="00CE2E3F">
      <w:pPr>
        <w:rPr>
          <w:rFonts w:ascii="Arial" w:hAnsi="Arial" w:cs="Arial"/>
          <w:b/>
          <w:lang w:val="en-GB"/>
        </w:rPr>
      </w:pPr>
      <w:r w:rsidRPr="00CE2E3F">
        <w:rPr>
          <w:rFonts w:ascii="Arial" w:hAnsi="Arial" w:cs="Arial"/>
          <w:b/>
          <w:lang w:val="en-GB"/>
        </w:rPr>
        <w:t>Cost-effectiveness of health technologies in adults with type 1 diabetes: an updated systematic review and narrative synthesis</w:t>
      </w:r>
      <w:bookmarkStart w:id="0" w:name="_g8fkf2kncn9m" w:colFirst="0" w:colLast="0"/>
      <w:bookmarkEnd w:id="0"/>
    </w:p>
    <w:p w14:paraId="775207BF" w14:textId="3A7B7F71" w:rsidR="008427FA" w:rsidRPr="007244F0" w:rsidRDefault="008427FA" w:rsidP="008427FA">
      <w:pPr>
        <w:rPr>
          <w:rFonts w:ascii="Arial" w:hAnsi="Arial" w:cs="Arial"/>
          <w:i/>
          <w:iCs/>
        </w:rPr>
      </w:pPr>
    </w:p>
    <w:p w14:paraId="78D68BB6" w14:textId="6BEA4066" w:rsidR="00DF43CC" w:rsidRDefault="0092290E" w:rsidP="00DF43CC">
      <w:pPr>
        <w:rPr>
          <w:rFonts w:ascii="Arial" w:hAnsi="Arial" w:cs="Arial"/>
          <w:lang w:val="en-AU"/>
        </w:rPr>
      </w:pPr>
      <w:r>
        <w:rPr>
          <w:rFonts w:ascii="Arial" w:hAnsi="Arial" w:cs="Arial"/>
          <w:b/>
          <w:bCs/>
          <w:lang w:val="en-AU"/>
        </w:rPr>
        <w:t xml:space="preserve">Aim/s: </w:t>
      </w:r>
      <w:r w:rsidR="00DF43CC" w:rsidRPr="00DF43CC">
        <w:rPr>
          <w:rFonts w:ascii="Arial" w:hAnsi="Arial" w:cs="Arial"/>
          <w:lang w:val="en-AU"/>
        </w:rPr>
        <w:t>With the rapid evolution of type 1 diabetes (T1D) technologies, contemporary evidence on their economic value is essential to guide clinical and policy decisions. This review updates the systematic review by Pease et al. (2020), which found insulin pumps and continuous glucose monitoring (CGM) frequently cost</w:t>
      </w:r>
      <w:r w:rsidR="00DF43CC" w:rsidRPr="00DF43CC">
        <w:rPr>
          <w:rFonts w:ascii="Arial" w:hAnsi="Arial" w:cs="Arial"/>
          <w:lang w:val="en-AU"/>
        </w:rPr>
        <w:noBreakHyphen/>
        <w:t>effective, while evidence for sensor</w:t>
      </w:r>
      <w:r w:rsidR="00DF43CC" w:rsidRPr="00DF43CC">
        <w:rPr>
          <w:rFonts w:ascii="Arial" w:hAnsi="Arial" w:cs="Arial"/>
          <w:lang w:val="en-AU"/>
        </w:rPr>
        <w:noBreakHyphen/>
        <w:t>augmented pump (SAP) and early automated insulin delivery (AID) systems was inconsistent. We summarise new evidence on the cost</w:t>
      </w:r>
      <w:r w:rsidR="00DF43CC" w:rsidRPr="00DF43CC">
        <w:rPr>
          <w:rFonts w:ascii="Arial" w:hAnsi="Arial" w:cs="Arial"/>
          <w:lang w:val="en-AU"/>
        </w:rPr>
        <w:noBreakHyphen/>
        <w:t>effectiveness of current T1D technologies.</w:t>
      </w:r>
    </w:p>
    <w:p w14:paraId="14B575DB" w14:textId="77777777" w:rsidR="0092290E" w:rsidRPr="00DF43CC" w:rsidRDefault="0092290E" w:rsidP="00DF43CC">
      <w:pPr>
        <w:rPr>
          <w:rFonts w:ascii="Arial" w:hAnsi="Arial" w:cs="Arial"/>
          <w:b/>
          <w:bCs/>
          <w:lang w:val="en-AU"/>
        </w:rPr>
      </w:pPr>
    </w:p>
    <w:p w14:paraId="59BACED6" w14:textId="436934F2" w:rsidR="00DF43CC" w:rsidRDefault="00DF43CC" w:rsidP="00DF43CC">
      <w:pPr>
        <w:rPr>
          <w:rFonts w:ascii="Arial" w:hAnsi="Arial" w:cs="Arial"/>
          <w:lang w:val="en-AU"/>
        </w:rPr>
      </w:pPr>
      <w:r w:rsidRPr="00DF43CC">
        <w:rPr>
          <w:rFonts w:ascii="Arial" w:hAnsi="Arial" w:cs="Arial"/>
          <w:b/>
          <w:bCs/>
          <w:lang w:val="en-AU"/>
        </w:rPr>
        <w:t>Methods:</w:t>
      </w:r>
      <w:r w:rsidR="0092290E">
        <w:rPr>
          <w:rFonts w:ascii="Arial" w:hAnsi="Arial" w:cs="Arial"/>
          <w:b/>
          <w:bCs/>
          <w:lang w:val="en-AU"/>
        </w:rPr>
        <w:t xml:space="preserve"> </w:t>
      </w:r>
      <w:r w:rsidRPr="00DF43CC">
        <w:rPr>
          <w:rFonts w:ascii="Arial" w:hAnsi="Arial" w:cs="Arial"/>
          <w:lang w:val="en-AU"/>
        </w:rPr>
        <w:t xml:space="preserve">A systematic search of PubMed, </w:t>
      </w:r>
      <w:proofErr w:type="spellStart"/>
      <w:r w:rsidRPr="00DF43CC">
        <w:rPr>
          <w:rFonts w:ascii="Arial" w:hAnsi="Arial" w:cs="Arial"/>
          <w:lang w:val="en-AU"/>
        </w:rPr>
        <w:t>EconLit</w:t>
      </w:r>
      <w:proofErr w:type="spellEnd"/>
      <w:r w:rsidRPr="00DF43CC">
        <w:rPr>
          <w:rFonts w:ascii="Arial" w:hAnsi="Arial" w:cs="Arial"/>
          <w:lang w:val="en-AU"/>
        </w:rPr>
        <w:t>, the International Health Technology Assessment Database, the Cost</w:t>
      </w:r>
      <w:r w:rsidRPr="00DF43CC">
        <w:rPr>
          <w:rFonts w:ascii="Arial" w:hAnsi="Arial" w:cs="Arial"/>
          <w:lang w:val="en-AU"/>
        </w:rPr>
        <w:noBreakHyphen/>
        <w:t>Effectiveness Analysis Registry, and Research Papers in Economics was conducted from 25 April 2019 to 7 May 2025. Eligible studies were full economic evaluations of insulin pumps, CGM, SAP, or AID systems compared with usual care (multiple daily injections (MDI) and/or self</w:t>
      </w:r>
      <w:r w:rsidRPr="00DF43CC">
        <w:rPr>
          <w:rFonts w:ascii="Arial" w:hAnsi="Arial" w:cs="Arial"/>
          <w:lang w:val="en-AU"/>
        </w:rPr>
        <w:noBreakHyphen/>
        <w:t>monitoring of blood glucose (SMBG)</w:t>
      </w:r>
      <w:r w:rsidR="003377AC">
        <w:rPr>
          <w:rFonts w:ascii="Arial" w:hAnsi="Arial" w:cs="Arial"/>
          <w:lang w:val="en-AU"/>
        </w:rPr>
        <w:t xml:space="preserve"> </w:t>
      </w:r>
      <w:r w:rsidR="000C4F63">
        <w:rPr>
          <w:rFonts w:ascii="Arial" w:hAnsi="Arial" w:cs="Arial"/>
          <w:lang w:val="en-AU"/>
        </w:rPr>
        <w:t>and/</w:t>
      </w:r>
      <w:r w:rsidR="0092290E">
        <w:rPr>
          <w:rFonts w:ascii="Arial" w:hAnsi="Arial" w:cs="Arial"/>
          <w:lang w:val="en-AU"/>
        </w:rPr>
        <w:t>or other technologies</w:t>
      </w:r>
      <w:r w:rsidR="003377AC">
        <w:rPr>
          <w:rFonts w:ascii="Arial" w:hAnsi="Arial" w:cs="Arial"/>
          <w:lang w:val="en-AU"/>
        </w:rPr>
        <w:t>)</w:t>
      </w:r>
      <w:r w:rsidRPr="00DF43CC">
        <w:rPr>
          <w:rFonts w:ascii="Arial" w:hAnsi="Arial" w:cs="Arial"/>
          <w:lang w:val="en-AU"/>
        </w:rPr>
        <w:t xml:space="preserve"> in adults with T1D. Costing studies and budget</w:t>
      </w:r>
      <w:r w:rsidRPr="00DF43CC">
        <w:rPr>
          <w:rFonts w:ascii="Arial" w:hAnsi="Arial" w:cs="Arial"/>
          <w:lang w:val="en-AU"/>
        </w:rPr>
        <w:noBreakHyphen/>
        <w:t xml:space="preserve">impact analyses were excluded. </w:t>
      </w:r>
    </w:p>
    <w:p w14:paraId="57490702" w14:textId="77777777" w:rsidR="0092290E" w:rsidRPr="00DF43CC" w:rsidRDefault="0092290E" w:rsidP="00DF43CC">
      <w:pPr>
        <w:rPr>
          <w:rFonts w:ascii="Arial" w:hAnsi="Arial" w:cs="Arial"/>
          <w:b/>
          <w:bCs/>
          <w:lang w:val="en-AU"/>
        </w:rPr>
      </w:pPr>
    </w:p>
    <w:p w14:paraId="397B30BC" w14:textId="3620F458" w:rsidR="0092290E" w:rsidRPr="0092290E" w:rsidRDefault="00DF43CC" w:rsidP="0092290E">
      <w:pPr>
        <w:rPr>
          <w:rFonts w:ascii="Arial" w:hAnsi="Arial" w:cs="Arial"/>
          <w:lang w:val="en-AU"/>
        </w:rPr>
      </w:pPr>
      <w:r w:rsidRPr="00DF43CC">
        <w:rPr>
          <w:rFonts w:ascii="Arial" w:hAnsi="Arial" w:cs="Arial"/>
          <w:b/>
          <w:bCs/>
          <w:lang w:val="en-AU"/>
        </w:rPr>
        <w:t>Results:</w:t>
      </w:r>
      <w:r w:rsidR="0092290E">
        <w:rPr>
          <w:rFonts w:ascii="Arial" w:hAnsi="Arial" w:cs="Arial"/>
          <w:b/>
          <w:bCs/>
          <w:lang w:val="en-AU"/>
        </w:rPr>
        <w:t xml:space="preserve"> </w:t>
      </w:r>
      <w:r w:rsidRPr="00DF43CC">
        <w:rPr>
          <w:rFonts w:ascii="Arial" w:hAnsi="Arial" w:cs="Arial"/>
          <w:lang w:val="en-AU"/>
        </w:rPr>
        <w:t xml:space="preserve">Of 1,581 records identified, 36 studies </w:t>
      </w:r>
      <w:r w:rsidR="003377AC">
        <w:rPr>
          <w:rFonts w:ascii="Arial" w:hAnsi="Arial" w:cs="Arial"/>
          <w:lang w:val="en-AU"/>
        </w:rPr>
        <w:t>were included</w:t>
      </w:r>
      <w:r w:rsidRPr="00DF43CC">
        <w:rPr>
          <w:rFonts w:ascii="Arial" w:hAnsi="Arial" w:cs="Arial"/>
          <w:lang w:val="en-AU"/>
        </w:rPr>
        <w:t>. As in the earlier review, most were model</w:t>
      </w:r>
      <w:r w:rsidRPr="00DF43CC">
        <w:rPr>
          <w:rFonts w:ascii="Arial" w:hAnsi="Arial" w:cs="Arial"/>
          <w:lang w:val="en-AU"/>
        </w:rPr>
        <w:noBreakHyphen/>
        <w:t>based (n=34), commonly using the IQVIA CORE Diabetes Model. CGM remained favourable: all real</w:t>
      </w:r>
      <w:r w:rsidRPr="00DF43CC">
        <w:rPr>
          <w:rFonts w:ascii="Arial" w:hAnsi="Arial" w:cs="Arial"/>
          <w:lang w:val="en-AU"/>
        </w:rPr>
        <w:noBreakHyphen/>
        <w:t>time CGM studies (100%) and most intermittently scanned CGM studies (89%) reported cost</w:t>
      </w:r>
      <w:r w:rsidRPr="00DF43CC">
        <w:rPr>
          <w:rFonts w:ascii="Arial" w:hAnsi="Arial" w:cs="Arial"/>
          <w:lang w:val="en-AU"/>
        </w:rPr>
        <w:noBreakHyphen/>
        <w:t>effective or cost</w:t>
      </w:r>
      <w:r w:rsidRPr="00DF43CC">
        <w:rPr>
          <w:rFonts w:ascii="Arial" w:hAnsi="Arial" w:cs="Arial"/>
          <w:lang w:val="en-AU"/>
        </w:rPr>
        <w:noBreakHyphen/>
        <w:t>saving results. Findings for more advanced technologies mirrored previous variability. Eleven studies reported AID systems to be cost</w:t>
      </w:r>
      <w:r w:rsidRPr="00DF43CC">
        <w:rPr>
          <w:rFonts w:ascii="Arial" w:hAnsi="Arial" w:cs="Arial"/>
          <w:lang w:val="en-AU"/>
        </w:rPr>
        <w:noBreakHyphen/>
        <w:t>effective, whereas five reported non</w:t>
      </w:r>
      <w:r w:rsidRPr="00DF43CC">
        <w:rPr>
          <w:rFonts w:ascii="Arial" w:hAnsi="Arial" w:cs="Arial"/>
          <w:lang w:val="en-AU"/>
        </w:rPr>
        <w:noBreakHyphen/>
        <w:t>cost</w:t>
      </w:r>
      <w:r w:rsidRPr="00DF43CC">
        <w:rPr>
          <w:rFonts w:ascii="Arial" w:hAnsi="Arial" w:cs="Arial"/>
          <w:lang w:val="en-AU"/>
        </w:rPr>
        <w:noBreakHyphen/>
        <w:t>effective or uncertain results, often due to differing modelling assumptions. Determinants of cost</w:t>
      </w:r>
      <w:r w:rsidRPr="00DF43CC">
        <w:rPr>
          <w:rFonts w:ascii="Arial" w:hAnsi="Arial" w:cs="Arial"/>
          <w:lang w:val="en-AU"/>
        </w:rPr>
        <w:noBreakHyphen/>
        <w:t>effectiveness were consistent with Pease et al., including patient population, time horizon, intervention cost, treatment effects, and quality</w:t>
      </w:r>
      <w:r w:rsidRPr="00DF43CC">
        <w:rPr>
          <w:rFonts w:ascii="Arial" w:hAnsi="Arial" w:cs="Arial"/>
          <w:lang w:val="en-AU"/>
        </w:rPr>
        <w:noBreakHyphen/>
        <w:t>of</w:t>
      </w:r>
      <w:r w:rsidRPr="00DF43CC">
        <w:rPr>
          <w:rFonts w:ascii="Arial" w:hAnsi="Arial" w:cs="Arial"/>
          <w:lang w:val="en-AU"/>
        </w:rPr>
        <w:noBreakHyphen/>
        <w:t>life gains</w:t>
      </w:r>
      <w:r w:rsidR="00D543D0">
        <w:rPr>
          <w:rFonts w:ascii="Arial" w:hAnsi="Arial" w:cs="Arial"/>
          <w:lang w:val="en-AU"/>
        </w:rPr>
        <w:t xml:space="preserve">, </w:t>
      </w:r>
      <w:r w:rsidRPr="00DF43CC">
        <w:rPr>
          <w:rFonts w:ascii="Arial" w:hAnsi="Arial" w:cs="Arial"/>
          <w:lang w:val="en-AU"/>
        </w:rPr>
        <w:t>particularly reductions in fear of hypoglycaemia.</w:t>
      </w:r>
      <w:r w:rsidR="0092290E">
        <w:rPr>
          <w:rFonts w:ascii="Arial" w:hAnsi="Arial" w:cs="Arial"/>
          <w:lang w:val="en-AU"/>
        </w:rPr>
        <w:t xml:space="preserve"> S</w:t>
      </w:r>
      <w:r w:rsidR="0092290E" w:rsidRPr="0092290E">
        <w:rPr>
          <w:rFonts w:ascii="Arial" w:hAnsi="Arial" w:cs="Arial"/>
          <w:lang w:val="en-AU"/>
        </w:rPr>
        <w:t>ocietal perspectives</w:t>
      </w:r>
      <w:r w:rsidR="00D533AD">
        <w:rPr>
          <w:rFonts w:ascii="Arial" w:hAnsi="Arial" w:cs="Arial"/>
          <w:lang w:val="en-AU"/>
        </w:rPr>
        <w:t xml:space="preserve"> </w:t>
      </w:r>
      <w:r w:rsidR="0092290E">
        <w:rPr>
          <w:rFonts w:ascii="Arial" w:hAnsi="Arial" w:cs="Arial"/>
          <w:lang w:val="en-AU"/>
        </w:rPr>
        <w:t>improved cost-effectiveness</w:t>
      </w:r>
      <w:r w:rsidR="00D128DD">
        <w:rPr>
          <w:rFonts w:ascii="Arial" w:hAnsi="Arial" w:cs="Arial"/>
          <w:lang w:val="en-AU"/>
        </w:rPr>
        <w:t xml:space="preserve">, but few considered </w:t>
      </w:r>
      <w:r w:rsidR="000C4F63">
        <w:rPr>
          <w:rFonts w:ascii="Arial" w:hAnsi="Arial" w:cs="Arial"/>
          <w:lang w:val="en-AU"/>
        </w:rPr>
        <w:t>carer costs.</w:t>
      </w:r>
    </w:p>
    <w:p w14:paraId="6E9DBC2F" w14:textId="4609626E" w:rsidR="00DF43CC" w:rsidRPr="00DF43CC" w:rsidRDefault="00DF43CC" w:rsidP="00DF43CC">
      <w:pPr>
        <w:rPr>
          <w:rFonts w:ascii="Arial" w:hAnsi="Arial" w:cs="Arial"/>
          <w:lang w:val="en-AU"/>
        </w:rPr>
      </w:pPr>
    </w:p>
    <w:p w14:paraId="78BB708B" w14:textId="090CCE88" w:rsidR="0092290E" w:rsidRPr="0092290E" w:rsidRDefault="00DF43CC" w:rsidP="0092290E">
      <w:pPr>
        <w:rPr>
          <w:rFonts w:ascii="Arial" w:hAnsi="Arial" w:cs="Arial"/>
          <w:lang w:val="en-AU"/>
        </w:rPr>
      </w:pPr>
      <w:r w:rsidRPr="00DF43CC">
        <w:rPr>
          <w:rFonts w:ascii="Arial" w:hAnsi="Arial" w:cs="Arial"/>
          <w:b/>
          <w:bCs/>
          <w:lang w:val="en-AU"/>
        </w:rPr>
        <w:t>Conclusion:</w:t>
      </w:r>
      <w:r w:rsidR="0092290E">
        <w:rPr>
          <w:rFonts w:ascii="Arial" w:hAnsi="Arial" w:cs="Arial"/>
          <w:b/>
          <w:bCs/>
          <w:lang w:val="en-AU"/>
        </w:rPr>
        <w:t xml:space="preserve"> </w:t>
      </w:r>
      <w:r w:rsidRPr="00DF43CC">
        <w:rPr>
          <w:rFonts w:ascii="Arial" w:hAnsi="Arial" w:cs="Arial"/>
          <w:lang w:val="en-AU"/>
        </w:rPr>
        <w:t>This updated review reinforces earlier evidence that modern diabetes technologies, particularly CGM, are generally cost</w:t>
      </w:r>
      <w:r w:rsidRPr="00DF43CC">
        <w:rPr>
          <w:rFonts w:ascii="Arial" w:hAnsi="Arial" w:cs="Arial"/>
          <w:lang w:val="en-AU"/>
        </w:rPr>
        <w:noBreakHyphen/>
        <w:t>effective. However, cost</w:t>
      </w:r>
      <w:r w:rsidRPr="00DF43CC">
        <w:rPr>
          <w:rFonts w:ascii="Arial" w:hAnsi="Arial" w:cs="Arial"/>
          <w:lang w:val="en-AU"/>
        </w:rPr>
        <w:noBreakHyphen/>
        <w:t>effectiveness evidence for advanced systems such as AID remains mixed. Further standardised, high</w:t>
      </w:r>
      <w:r w:rsidRPr="00DF43CC">
        <w:rPr>
          <w:rFonts w:ascii="Arial" w:hAnsi="Arial" w:cs="Arial"/>
          <w:lang w:val="en-AU"/>
        </w:rPr>
        <w:noBreakHyphen/>
        <w:t>quality evaluations</w:t>
      </w:r>
      <w:r w:rsidR="0092290E">
        <w:rPr>
          <w:rFonts w:ascii="Arial" w:hAnsi="Arial" w:cs="Arial"/>
          <w:lang w:val="en-AU"/>
        </w:rPr>
        <w:t xml:space="preserve"> that capture the full societal costs</w:t>
      </w:r>
      <w:r w:rsidR="00D533AD">
        <w:rPr>
          <w:rFonts w:ascii="Arial" w:hAnsi="Arial" w:cs="Arial"/>
          <w:lang w:val="en-AU"/>
        </w:rPr>
        <w:t xml:space="preserve"> </w:t>
      </w:r>
      <w:r w:rsidRPr="00DF43CC">
        <w:rPr>
          <w:rFonts w:ascii="Arial" w:hAnsi="Arial" w:cs="Arial"/>
          <w:lang w:val="en-AU"/>
        </w:rPr>
        <w:t>are needed as technologies and clinical evidence evolve.</w:t>
      </w:r>
      <w:r w:rsidR="0092290E" w:rsidRPr="0092290E">
        <w:rPr>
          <w:rFonts w:ascii="Arial" w:hAnsi="Arial" w:cs="Arial"/>
          <w:lang w:val="en-AU"/>
        </w:rPr>
        <w:t xml:space="preserve"> </w:t>
      </w:r>
    </w:p>
    <w:p w14:paraId="34494C1D" w14:textId="49D97902" w:rsidR="00DF43CC" w:rsidRPr="00DF43CC" w:rsidRDefault="00DF43CC" w:rsidP="00DF43CC">
      <w:pPr>
        <w:rPr>
          <w:rFonts w:ascii="Arial" w:hAnsi="Arial" w:cs="Arial"/>
          <w:b/>
          <w:bCs/>
          <w:lang w:val="en-AU"/>
        </w:rPr>
      </w:pPr>
    </w:p>
    <w:p w14:paraId="6C96C060" w14:textId="77777777" w:rsidR="008E7FC4" w:rsidRPr="00761372" w:rsidRDefault="008E7FC4" w:rsidP="00251A12">
      <w:pPr>
        <w:rPr>
          <w:rFonts w:ascii="Arial" w:hAnsi="Arial" w:cs="Arial"/>
          <w:bCs/>
          <w:lang w:val="en-GB"/>
        </w:rPr>
      </w:pPr>
    </w:p>
    <w:p w14:paraId="11C6E1EF"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C4F63"/>
    <w:rsid w:val="00251A12"/>
    <w:rsid w:val="0028124D"/>
    <w:rsid w:val="003377AC"/>
    <w:rsid w:val="00376B39"/>
    <w:rsid w:val="004E09DD"/>
    <w:rsid w:val="005F38B4"/>
    <w:rsid w:val="006114B4"/>
    <w:rsid w:val="007244F0"/>
    <w:rsid w:val="00761372"/>
    <w:rsid w:val="007F0301"/>
    <w:rsid w:val="00830A4D"/>
    <w:rsid w:val="008427FA"/>
    <w:rsid w:val="008953CF"/>
    <w:rsid w:val="008E7FC4"/>
    <w:rsid w:val="0092290E"/>
    <w:rsid w:val="00927C90"/>
    <w:rsid w:val="009A582D"/>
    <w:rsid w:val="009D79DB"/>
    <w:rsid w:val="00A85759"/>
    <w:rsid w:val="00B83230"/>
    <w:rsid w:val="00BA1B84"/>
    <w:rsid w:val="00BC73E4"/>
    <w:rsid w:val="00CB5B1C"/>
    <w:rsid w:val="00CE2E3F"/>
    <w:rsid w:val="00D128DD"/>
    <w:rsid w:val="00D533AD"/>
    <w:rsid w:val="00D543D0"/>
    <w:rsid w:val="00D56368"/>
    <w:rsid w:val="00D977BB"/>
    <w:rsid w:val="00DD0D64"/>
    <w:rsid w:val="00DF43CC"/>
    <w:rsid w:val="00F274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 w:type="character" w:styleId="CommentReference">
    <w:name w:val="annotation reference"/>
    <w:basedOn w:val="DefaultParagraphFont"/>
    <w:uiPriority w:val="99"/>
    <w:semiHidden/>
    <w:unhideWhenUsed/>
    <w:rsid w:val="007F0301"/>
    <w:rPr>
      <w:sz w:val="16"/>
      <w:szCs w:val="16"/>
    </w:rPr>
  </w:style>
  <w:style w:type="paragraph" w:styleId="CommentText">
    <w:name w:val="annotation text"/>
    <w:basedOn w:val="Normal"/>
    <w:link w:val="CommentTextChar"/>
    <w:uiPriority w:val="99"/>
    <w:semiHidden/>
    <w:unhideWhenUsed/>
    <w:rsid w:val="007F0301"/>
    <w:rPr>
      <w:sz w:val="20"/>
      <w:szCs w:val="20"/>
    </w:rPr>
  </w:style>
  <w:style w:type="character" w:customStyle="1" w:styleId="CommentTextChar">
    <w:name w:val="Comment Text Char"/>
    <w:basedOn w:val="DefaultParagraphFont"/>
    <w:link w:val="CommentText"/>
    <w:uiPriority w:val="99"/>
    <w:semiHidden/>
    <w:rsid w:val="007F0301"/>
    <w:rPr>
      <w:sz w:val="20"/>
      <w:szCs w:val="20"/>
    </w:rPr>
  </w:style>
  <w:style w:type="paragraph" w:styleId="CommentSubject">
    <w:name w:val="annotation subject"/>
    <w:basedOn w:val="CommentText"/>
    <w:next w:val="CommentText"/>
    <w:link w:val="CommentSubjectChar"/>
    <w:uiPriority w:val="99"/>
    <w:semiHidden/>
    <w:unhideWhenUsed/>
    <w:rsid w:val="007F0301"/>
    <w:rPr>
      <w:b/>
      <w:bCs/>
    </w:rPr>
  </w:style>
  <w:style w:type="character" w:customStyle="1" w:styleId="CommentSubjectChar">
    <w:name w:val="Comment Subject Char"/>
    <w:basedOn w:val="CommentTextChar"/>
    <w:link w:val="CommentSubject"/>
    <w:uiPriority w:val="99"/>
    <w:semiHidden/>
    <w:rsid w:val="007F0301"/>
    <w:rPr>
      <w:b/>
      <w:bCs/>
      <w:sz w:val="20"/>
      <w:szCs w:val="20"/>
    </w:rPr>
  </w:style>
  <w:style w:type="paragraph" w:styleId="NormalWeb">
    <w:name w:val="Normal (Web)"/>
    <w:basedOn w:val="Normal"/>
    <w:uiPriority w:val="99"/>
    <w:semiHidden/>
    <w:unhideWhenUsed/>
    <w:rsid w:val="00DF43C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DF4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18235">
      <w:bodyDiv w:val="1"/>
      <w:marLeft w:val="0"/>
      <w:marRight w:val="0"/>
      <w:marTop w:val="0"/>
      <w:marBottom w:val="0"/>
      <w:divBdr>
        <w:top w:val="none" w:sz="0" w:space="0" w:color="auto"/>
        <w:left w:val="none" w:sz="0" w:space="0" w:color="auto"/>
        <w:bottom w:val="none" w:sz="0" w:space="0" w:color="auto"/>
        <w:right w:val="none" w:sz="0" w:space="0" w:color="auto"/>
      </w:divBdr>
      <w:divsChild>
        <w:div w:id="1866937952">
          <w:marLeft w:val="0"/>
          <w:marRight w:val="0"/>
          <w:marTop w:val="0"/>
          <w:marBottom w:val="0"/>
          <w:divBdr>
            <w:top w:val="none" w:sz="0" w:space="0" w:color="auto"/>
            <w:left w:val="none" w:sz="0" w:space="0" w:color="auto"/>
            <w:bottom w:val="none" w:sz="0" w:space="0" w:color="auto"/>
            <w:right w:val="none" w:sz="0" w:space="0" w:color="auto"/>
          </w:divBdr>
        </w:div>
      </w:divsChild>
    </w:div>
    <w:div w:id="1592086059">
      <w:bodyDiv w:val="1"/>
      <w:marLeft w:val="0"/>
      <w:marRight w:val="0"/>
      <w:marTop w:val="0"/>
      <w:marBottom w:val="0"/>
      <w:divBdr>
        <w:top w:val="none" w:sz="0" w:space="0" w:color="auto"/>
        <w:left w:val="none" w:sz="0" w:space="0" w:color="auto"/>
        <w:bottom w:val="none" w:sz="0" w:space="0" w:color="auto"/>
        <w:right w:val="none" w:sz="0" w:space="0" w:color="auto"/>
      </w:divBdr>
      <w:divsChild>
        <w:div w:id="203037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purl.org/dc/terms/"/>
    <ds:schemaRef ds:uri="http://schemas.microsoft.com/office/2006/documentManagement/types"/>
    <ds:schemaRef ds:uri="6911e96c-4cc4-42d5-8e43-f93924cf6a05"/>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Ella Zomer</cp:lastModifiedBy>
  <cp:revision>5</cp:revision>
  <dcterms:created xsi:type="dcterms:W3CDTF">2026-03-16T02:14:00Z</dcterms:created>
  <dcterms:modified xsi:type="dcterms:W3CDTF">2026-03-16T03:00:00Z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