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25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5"/>
      </w:tblGrid>
      <w:tr w:rsidR="001564A4" w:rsidRPr="0050053A" w14:paraId="5C38377B" w14:textId="77777777" w:rsidTr="00FF4812">
        <w:trPr>
          <w:trHeight w:val="522"/>
        </w:trPr>
        <w:tc>
          <w:tcPr>
            <w:tcW w:w="9145" w:type="dxa"/>
            <w:shd w:val="clear" w:color="auto" w:fill="auto"/>
          </w:tcPr>
          <w:p w14:paraId="5C44F357" w14:textId="5554EC38" w:rsidR="001564A4" w:rsidRPr="000D532A" w:rsidRDefault="00EB405F" w:rsidP="00EB40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D532A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>Explor</w:t>
            </w:r>
            <w:r w:rsidRPr="000D532A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>ing the</w:t>
            </w:r>
            <w:r w:rsidRPr="000D532A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 lung-associated </w:t>
            </w:r>
            <w:proofErr w:type="spellStart"/>
            <w:r w:rsidRPr="000D532A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>virome</w:t>
            </w:r>
            <w:proofErr w:type="spellEnd"/>
            <w:r w:rsidRPr="000D532A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 utilising shotgun metagenomics data</w:t>
            </w:r>
          </w:p>
        </w:tc>
      </w:tr>
      <w:tr w:rsidR="001564A4" w:rsidRPr="0050053A" w14:paraId="0E2E035C" w14:textId="77777777" w:rsidTr="00FF4812">
        <w:trPr>
          <w:trHeight w:val="763"/>
        </w:trPr>
        <w:tc>
          <w:tcPr>
            <w:tcW w:w="9145" w:type="dxa"/>
            <w:shd w:val="clear" w:color="auto" w:fill="auto"/>
          </w:tcPr>
          <w:p w14:paraId="73B55295" w14:textId="00C47323" w:rsidR="001564A4" w:rsidRPr="000D532A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proofErr w:type="spellStart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Talya</w:t>
            </w:r>
            <w:proofErr w:type="spellEnd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 xml:space="preserve"> Conradie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1,2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,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Jose</w:t>
            </w:r>
            <w:proofErr w:type="spellEnd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Caparros-Martin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1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, Anthony Kicic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1,3,4,5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,</w:t>
            </w:r>
            <w:r w:rsidRPr="00EB405F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</w:t>
            </w:r>
            <w:proofErr w:type="spellStart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Siobhon</w:t>
            </w:r>
            <w:proofErr w:type="spellEnd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Egan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2,6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, </w:t>
            </w:r>
            <w:proofErr w:type="spellStart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Sulev</w:t>
            </w:r>
            <w:proofErr w:type="spellEnd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Koks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2,7,8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, Stephen M. Stick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1,3,4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and Patricia Agudelo-Romero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1,9,10</w:t>
            </w:r>
          </w:p>
        </w:tc>
      </w:tr>
      <w:tr w:rsidR="001564A4" w:rsidRPr="0050053A" w14:paraId="385A19D9" w14:textId="77777777" w:rsidTr="00FF4812">
        <w:trPr>
          <w:trHeight w:val="143"/>
        </w:trPr>
        <w:tc>
          <w:tcPr>
            <w:tcW w:w="9145" w:type="dxa"/>
            <w:shd w:val="clear" w:color="auto" w:fill="auto"/>
          </w:tcPr>
          <w:p w14:paraId="47156B89" w14:textId="77777777" w:rsidR="00EB405F" w:rsidRPr="00EB405F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Wal-yan Respiratory Research Centre, Telethon Kids Institute, WA, Australia</w:t>
            </w:r>
          </w:p>
          <w:p w14:paraId="1BCB2FD4" w14:textId="77777777" w:rsidR="00EB405F" w:rsidRPr="00EB405F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2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Medical, Molecular and Forensic Sciences, Murdoch University, WA, Australia</w:t>
            </w:r>
          </w:p>
          <w:p w14:paraId="5CF69AC6" w14:textId="77777777" w:rsidR="00EB405F" w:rsidRPr="00EB405F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3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Department of Respiratory and Sleep Medicine, Perth Children’s Hospital for Children, WA, Australia.</w:t>
            </w:r>
          </w:p>
          <w:p w14:paraId="7B9C980F" w14:textId="77777777" w:rsidR="00EB405F" w:rsidRPr="00EB405F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4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Centre for Cell Therapy and Regenerative Medicine, School of Medicine and Pharmacology, WA, Australia.</w:t>
            </w:r>
          </w:p>
          <w:p w14:paraId="41827A80" w14:textId="77777777" w:rsidR="00EB405F" w:rsidRPr="00EB405F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5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School of Population Health, Curtin University, WA, Bentley, Australia</w:t>
            </w:r>
          </w:p>
          <w:p w14:paraId="45A24E80" w14:textId="77777777" w:rsidR="00EB405F" w:rsidRPr="00EB405F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6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Centre for Computational and Systems Medicine, Health Futures Institute, Murdoch University</w:t>
            </w:r>
          </w:p>
          <w:p w14:paraId="7EAA61B5" w14:textId="77777777" w:rsidR="00EB405F" w:rsidRPr="00EB405F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7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Perron Institute for Neurological and Translational Science, Perth, 8 Verdun Street, Nedlands, WA, 6009, Australia</w:t>
            </w:r>
          </w:p>
          <w:p w14:paraId="69735B75" w14:textId="77777777" w:rsidR="00EB405F" w:rsidRPr="00EB405F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8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Centre for Molecular Medicine and Innovative Therapeutics, Murdoch University, Perth, WA, Australia</w:t>
            </w:r>
          </w:p>
          <w:p w14:paraId="09887757" w14:textId="77777777" w:rsidR="00EB405F" w:rsidRPr="00EB405F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9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Australian Research Council Centre of Excellence in Plant Energy Biology, School of Molecular Sciences, The University of Western Australia, Perth, WA, Australia</w:t>
            </w:r>
          </w:p>
          <w:p w14:paraId="45ED36BF" w14:textId="63ABACC7" w:rsidR="001564A4" w:rsidRPr="000D532A" w:rsidRDefault="00EB405F" w:rsidP="00EB405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</w:pPr>
            <w:r w:rsidRPr="00EB405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10</w:t>
            </w:r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 xml:space="preserve">European Virus Bioinformatics </w:t>
            </w:r>
            <w:proofErr w:type="spellStart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Center</w:t>
            </w:r>
            <w:proofErr w:type="spellEnd"/>
            <w:r w:rsidRPr="00EB405F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, Jena, TH, Germany.</w:t>
            </w:r>
          </w:p>
        </w:tc>
      </w:tr>
      <w:tr w:rsidR="001564A4" w:rsidRPr="0050053A" w14:paraId="6DAF615A" w14:textId="77777777" w:rsidTr="00FF4812">
        <w:trPr>
          <w:trHeight w:hRule="exact" w:val="7098"/>
        </w:trPr>
        <w:tc>
          <w:tcPr>
            <w:tcW w:w="9145" w:type="dxa"/>
            <w:shd w:val="clear" w:color="auto" w:fill="auto"/>
          </w:tcPr>
          <w:p w14:paraId="4C1BF0AC" w14:textId="2F963A30" w:rsidR="00FF4812" w:rsidRPr="000D532A" w:rsidRDefault="00FF4812" w:rsidP="00857FAD">
            <w:pPr>
              <w:pStyle w:val="Pa12"/>
              <w:jc w:val="both"/>
              <w:rPr>
                <w:rStyle w:val="A4"/>
                <w:b/>
                <w:bCs/>
                <w:lang w:val="en-AU"/>
              </w:rPr>
            </w:pPr>
            <w:r w:rsidRPr="00FF4812">
              <w:rPr>
                <w:b/>
                <w:bCs/>
                <w:color w:val="000000"/>
                <w:sz w:val="22"/>
                <w:szCs w:val="22"/>
                <w:lang w:val="en-AU"/>
              </w:rPr>
              <w:t xml:space="preserve">Keywords: </w:t>
            </w:r>
            <w:proofErr w:type="spellStart"/>
            <w:r w:rsidRPr="00FF4812">
              <w:rPr>
                <w:color w:val="000000"/>
                <w:sz w:val="22"/>
                <w:szCs w:val="22"/>
                <w:lang w:val="en-AU"/>
              </w:rPr>
              <w:t>Virome</w:t>
            </w:r>
            <w:proofErr w:type="spellEnd"/>
            <w:r w:rsidRPr="00FF4812">
              <w:rPr>
                <w:color w:val="000000"/>
                <w:sz w:val="22"/>
                <w:szCs w:val="22"/>
                <w:lang w:val="en-AU"/>
              </w:rPr>
              <w:t>, viral genomics, lung</w:t>
            </w:r>
          </w:p>
          <w:p w14:paraId="4F0A34C3" w14:textId="3EE0AB64" w:rsidR="00EB405F" w:rsidRPr="000D532A" w:rsidRDefault="001564A4" w:rsidP="00857FAD">
            <w:pPr>
              <w:pStyle w:val="Pa12"/>
              <w:jc w:val="both"/>
              <w:rPr>
                <w:sz w:val="22"/>
                <w:szCs w:val="22"/>
                <w:lang w:val="en-AU"/>
              </w:rPr>
            </w:pPr>
            <w:r w:rsidRPr="000D532A">
              <w:rPr>
                <w:rStyle w:val="A4"/>
                <w:b/>
                <w:bCs/>
              </w:rPr>
              <w:t xml:space="preserve">Introduction/Aim: </w:t>
            </w:r>
            <w:r w:rsidR="00EB405F" w:rsidRPr="000D532A">
              <w:rPr>
                <w:sz w:val="22"/>
                <w:szCs w:val="22"/>
                <w:lang w:val="en-AU"/>
              </w:rPr>
              <w:t xml:space="preserve">To gain better understanding of the human lung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virome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associated with health and disease, we retrieved shotgun metagenomic data from public repositories and implemented a newly developed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pipEline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for Viral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assEmbly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and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chaRactEriSaTion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(EVEREST) (</w:t>
            </w:r>
            <w:hyperlink r:id="rId7" w:history="1">
              <w:r w:rsidR="00EB405F" w:rsidRPr="000D532A">
                <w:rPr>
                  <w:rStyle w:val="Hyperlink"/>
                  <w:sz w:val="22"/>
                  <w:szCs w:val="22"/>
                  <w:lang w:val="en-AU"/>
                </w:rPr>
                <w:t>https://agudeloromero.github.io/EVEREST/</w:t>
              </w:r>
            </w:hyperlink>
            <w:r w:rsidR="00EB405F" w:rsidRPr="000D532A">
              <w:rPr>
                <w:sz w:val="22"/>
                <w:szCs w:val="22"/>
                <w:lang w:val="en-AU"/>
              </w:rPr>
              <w:t>).</w:t>
            </w:r>
          </w:p>
          <w:p w14:paraId="2937D9B4" w14:textId="3D280252" w:rsidR="00EB405F" w:rsidRPr="000D532A" w:rsidRDefault="001564A4" w:rsidP="00857FAD">
            <w:pPr>
              <w:pStyle w:val="Pa12"/>
              <w:jc w:val="both"/>
              <w:rPr>
                <w:sz w:val="22"/>
                <w:szCs w:val="22"/>
                <w:lang w:val="en-AU"/>
              </w:rPr>
            </w:pPr>
            <w:r w:rsidRPr="000D532A">
              <w:rPr>
                <w:rStyle w:val="A4"/>
                <w:b/>
                <w:bCs/>
              </w:rPr>
              <w:t xml:space="preserve">Methods: </w:t>
            </w:r>
            <w:r w:rsidR="00EB405F" w:rsidRPr="000D532A">
              <w:rPr>
                <w:sz w:val="22"/>
                <w:szCs w:val="22"/>
                <w:lang w:val="en-AU"/>
              </w:rPr>
              <w:t xml:space="preserve">Lung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virome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studies (n=85) utilising shotgun metagenomics from lung-attributed samples were collated from public databases. Following manual curation (n=43),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bioproject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data (n=30) was entered and run through EVEREST resulting in viral discovery and taxonomic classification of known and unknown viruses. Complete and high-quality contigs were further assessed for genomic characterisation.</w:t>
            </w:r>
          </w:p>
          <w:p w14:paraId="043CF0B4" w14:textId="42EDDD2E" w:rsidR="00857FAD" w:rsidRPr="000D532A" w:rsidRDefault="001564A4" w:rsidP="00857FAD">
            <w:pPr>
              <w:pStyle w:val="Pa12"/>
              <w:jc w:val="both"/>
              <w:rPr>
                <w:sz w:val="22"/>
                <w:szCs w:val="22"/>
                <w:lang w:val="en-AU"/>
              </w:rPr>
            </w:pPr>
            <w:r w:rsidRPr="000D532A">
              <w:rPr>
                <w:rStyle w:val="A4"/>
                <w:b/>
                <w:bCs/>
              </w:rPr>
              <w:t xml:space="preserve">Results: </w:t>
            </w:r>
            <w:r w:rsidR="00EB405F" w:rsidRPr="000D532A">
              <w:rPr>
                <w:sz w:val="22"/>
                <w:szCs w:val="22"/>
                <w:lang w:val="en-AU"/>
              </w:rPr>
              <w:t xml:space="preserve">From 30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bioprojects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, 868 samples were run through EVEREST, 201 samples contained 1850 viral contigs, with 149 classified as complete/high-quality genomes. Prokaryotic viruses and bacteriophages comprised 84% of viral contigs found, while 16% were eukaryotic viruses. Majority of bacteriophages were classified as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Siphoviridae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and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Myoviridae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, while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Siphoviridae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and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Phycodnaviridae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accounted for the highest proportion of eukaryotic viruses. Healthy and diseased cohorts showed significant differences in diversity, with acute respiratory infection (</w:t>
            </w:r>
            <w:r w:rsidR="00EB405F" w:rsidRPr="000D532A">
              <w:rPr>
                <w:i/>
                <w:iCs/>
                <w:sz w:val="22"/>
                <w:szCs w:val="22"/>
                <w:lang w:val="en-AU"/>
              </w:rPr>
              <w:t>p-</w:t>
            </w:r>
            <w:proofErr w:type="spellStart"/>
            <w:r w:rsidR="00EB405F" w:rsidRPr="000D532A">
              <w:rPr>
                <w:i/>
                <w:iCs/>
                <w:sz w:val="22"/>
                <w:szCs w:val="22"/>
                <w:lang w:val="en-AU"/>
              </w:rPr>
              <w:t>val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>=0.017) and sarcoidosis (</w:t>
            </w:r>
            <w:r w:rsidR="00EB405F" w:rsidRPr="000D532A">
              <w:rPr>
                <w:i/>
                <w:iCs/>
                <w:sz w:val="22"/>
                <w:szCs w:val="22"/>
                <w:lang w:val="en-AU"/>
              </w:rPr>
              <w:t>p-</w:t>
            </w:r>
            <w:proofErr w:type="spellStart"/>
            <w:r w:rsidR="00EB405F" w:rsidRPr="000D532A">
              <w:rPr>
                <w:i/>
                <w:iCs/>
                <w:sz w:val="22"/>
                <w:szCs w:val="22"/>
                <w:lang w:val="en-AU"/>
              </w:rPr>
              <w:t>val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>=0.0015) showing decreased viral diversity when compared to healthy cohorts. Viral families that are representative of other human niches which have not been previously described in the lungs were also observed.</w:t>
            </w:r>
          </w:p>
          <w:p w14:paraId="2ACE29CE" w14:textId="3A4AFBF0" w:rsidR="00EB405F" w:rsidRPr="000D532A" w:rsidRDefault="001564A4" w:rsidP="00857FAD">
            <w:pPr>
              <w:pStyle w:val="Pa12"/>
              <w:jc w:val="both"/>
              <w:rPr>
                <w:sz w:val="22"/>
                <w:szCs w:val="22"/>
                <w:lang w:val="en-AU"/>
              </w:rPr>
            </w:pPr>
            <w:r w:rsidRPr="000D532A">
              <w:rPr>
                <w:rStyle w:val="A4"/>
                <w:b/>
                <w:bCs/>
              </w:rPr>
              <w:t xml:space="preserve">Conclusion: </w:t>
            </w:r>
            <w:r w:rsidR="00EB405F" w:rsidRPr="000D532A">
              <w:rPr>
                <w:sz w:val="22"/>
                <w:szCs w:val="22"/>
                <w:lang w:val="en-AU"/>
              </w:rPr>
              <w:t xml:space="preserve">We uncover for the first time the human lung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virome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in health and disease, identifying known and novel viruses utilising publicly available lung metagenome studies. Knowledge gained in the pulmonary </w:t>
            </w:r>
            <w:proofErr w:type="spellStart"/>
            <w:r w:rsidR="00EB405F" w:rsidRPr="000D532A">
              <w:rPr>
                <w:sz w:val="22"/>
                <w:szCs w:val="22"/>
                <w:lang w:val="en-AU"/>
              </w:rPr>
              <w:t>virome</w:t>
            </w:r>
            <w:proofErr w:type="spellEnd"/>
            <w:r w:rsidR="00EB405F" w:rsidRPr="000D532A">
              <w:rPr>
                <w:sz w:val="22"/>
                <w:szCs w:val="22"/>
                <w:lang w:val="en-AU"/>
              </w:rPr>
              <w:t xml:space="preserve"> will facilitate additional understanding of the virus-host microbiome interactions in various disease states and age groups.</w:t>
            </w:r>
          </w:p>
          <w:p w14:paraId="5F58D34F" w14:textId="4F1FAE60" w:rsidR="001564A4" w:rsidRPr="000D532A" w:rsidRDefault="001564A4" w:rsidP="00857FAD">
            <w:pPr>
              <w:pStyle w:val="Pa1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D532A">
              <w:rPr>
                <w:rStyle w:val="A4"/>
                <w:b/>
                <w:bCs/>
              </w:rPr>
              <w:t>Grant Support:</w:t>
            </w:r>
            <w:r w:rsidR="00EB405F" w:rsidRPr="000D532A">
              <w:rPr>
                <w:b/>
                <w:bCs/>
                <w:sz w:val="22"/>
                <w:szCs w:val="22"/>
                <w:lang w:val="en-US" w:eastAsia="en-GB"/>
              </w:rPr>
              <w:t xml:space="preserve"> </w:t>
            </w:r>
            <w:r w:rsidR="00EB405F" w:rsidRPr="000D532A">
              <w:rPr>
                <w:sz w:val="22"/>
                <w:szCs w:val="22"/>
              </w:rPr>
              <w:t xml:space="preserve"> </w:t>
            </w:r>
            <w:r w:rsidR="00EB405F" w:rsidRPr="000D532A">
              <w:rPr>
                <w:sz w:val="22"/>
                <w:szCs w:val="22"/>
              </w:rPr>
              <w:t>Pawsey Supercomputing Research Centre, and Australian Government Research Training Program Scholarship.</w:t>
            </w:r>
          </w:p>
        </w:tc>
      </w:tr>
    </w:tbl>
    <w:p w14:paraId="73B5723E" w14:textId="1DA1B7F6" w:rsidR="00EB405F" w:rsidRPr="00EB405F" w:rsidRDefault="00EB405F" w:rsidP="00EB405F">
      <w:pPr>
        <w:tabs>
          <w:tab w:val="left" w:pos="1895"/>
        </w:tabs>
      </w:pPr>
    </w:p>
    <w:sectPr w:rsidR="00EB405F" w:rsidRPr="00EB4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D532A"/>
    <w:rsid w:val="001564A4"/>
    <w:rsid w:val="0051574E"/>
    <w:rsid w:val="00857FAD"/>
    <w:rsid w:val="008803FA"/>
    <w:rsid w:val="00B12E32"/>
    <w:rsid w:val="00E0700F"/>
    <w:rsid w:val="00EB405F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EB4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gudeloromero.github.io/EVERES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Talya Conradie</cp:lastModifiedBy>
  <cp:revision>5</cp:revision>
  <dcterms:created xsi:type="dcterms:W3CDTF">2020-08-27T00:40:00Z</dcterms:created>
  <dcterms:modified xsi:type="dcterms:W3CDTF">2023-10-18T05:44:00Z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