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92442E8" w:rsidR="001564A4" w:rsidRPr="00681322" w:rsidRDefault="00681322" w:rsidP="005F72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2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Triple CFTR modulator therapy reduces healthcare utilisation and cost - an analysis prior to PBS listing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7E05CC2" w:rsidR="001564A4" w:rsidRPr="00401187" w:rsidRDefault="005F722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Kentwell</w:t>
            </w:r>
            <w:proofErr w:type="spellEnd"/>
            <w:r w:rsidR="00A85C3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401187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>Henderson D</w:t>
            </w:r>
            <w:r w:rsidR="006C3FCA" w:rsidRPr="006C3FC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>Masel</w:t>
            </w:r>
            <w:proofErr w:type="spellEnd"/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</w:t>
            </w:r>
            <w:r w:rsidR="006C3FCA" w:rsidRPr="006C3FC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>, Rei</w:t>
            </w:r>
            <w:r w:rsidR="002D1DF3">
              <w:rPr>
                <w:rFonts w:ascii="Arial" w:hAnsi="Arial" w:cs="Arial"/>
                <w:sz w:val="22"/>
                <w:szCs w:val="22"/>
                <w:lang w:val="en-US" w:eastAsia="en-GB"/>
              </w:rPr>
              <w:t>d</w:t>
            </w:r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D</w:t>
            </w:r>
            <w:r w:rsidR="006C3FCA" w:rsidRPr="006C3FC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="006C3FC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Moore</w:t>
            </w:r>
            <w:r w:rsidR="00A85C3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1284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McMahon</w:t>
            </w:r>
            <w:r w:rsidR="00A85C3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1284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Lacey</w:t>
            </w:r>
            <w:r w:rsidR="00A85C3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1284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Learmouth</w:t>
            </w:r>
            <w:r w:rsidR="00A85C3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1284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Hay</w:t>
            </w:r>
            <w:r w:rsidR="00A85C3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  <w:r w:rsidR="00401187">
              <w:rPr>
                <w:rFonts w:ascii="Arial" w:hAnsi="Arial" w:cs="Arial"/>
                <w:sz w:val="22"/>
                <w:szCs w:val="22"/>
                <w:lang w:val="en-US" w:eastAsia="en-GB"/>
              </w:rPr>
              <w:t>, Smith D</w:t>
            </w:r>
            <w:r w:rsidR="00401187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0118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173A3CBC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F72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Prince Charles Hospital</w:t>
            </w:r>
            <w:r w:rsidR="00A85C3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Queensland, Australia</w:t>
            </w:r>
          </w:p>
          <w:p w14:paraId="3BD815D8" w14:textId="52D2841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F72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University of Queensland</w:t>
            </w:r>
            <w:r w:rsidR="00A85C3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Queensland, Australia</w:t>
            </w:r>
          </w:p>
          <w:p w14:paraId="45ED36BF" w14:textId="40C6DDC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5F722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QIMR Berghofer Medical Research Institute</w:t>
            </w:r>
            <w:r w:rsidR="00A85C3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Queensland, Australia</w:t>
            </w:r>
          </w:p>
        </w:tc>
      </w:tr>
      <w:tr w:rsidR="001564A4" w:rsidRPr="0050053A" w14:paraId="6DAF615A" w14:textId="77777777" w:rsidTr="005D444C">
        <w:trPr>
          <w:trHeight w:hRule="exact" w:val="10869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401187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29F4FA30" w:rsidR="001564A4" w:rsidRPr="00AB0AC8" w:rsidRDefault="00DC0B0F" w:rsidP="00401187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C974FC" w:rsidRPr="00AB0AC8">
              <w:rPr>
                <w:sz w:val="22"/>
                <w:szCs w:val="22"/>
              </w:rPr>
              <w:t>here is no cure for cystic fibrosis</w:t>
            </w:r>
            <w:r w:rsidR="00671225">
              <w:rPr>
                <w:sz w:val="22"/>
                <w:szCs w:val="22"/>
              </w:rPr>
              <w:t xml:space="preserve"> (CF)</w:t>
            </w:r>
            <w:r w:rsidR="00C974FC" w:rsidRPr="00AB0A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however, </w:t>
            </w:r>
            <w:r w:rsidR="00C974FC" w:rsidRPr="00AB0AC8">
              <w:rPr>
                <w:sz w:val="22"/>
                <w:szCs w:val="22"/>
              </w:rPr>
              <w:t>therapeutic advances</w:t>
            </w:r>
            <w:r>
              <w:rPr>
                <w:sz w:val="22"/>
                <w:szCs w:val="22"/>
              </w:rPr>
              <w:t xml:space="preserve"> are</w:t>
            </w:r>
            <w:r w:rsidR="00C974FC" w:rsidRPr="00AB0AC8">
              <w:rPr>
                <w:sz w:val="22"/>
                <w:szCs w:val="22"/>
              </w:rPr>
              <w:t xml:space="preserve"> result</w:t>
            </w:r>
            <w:r>
              <w:rPr>
                <w:sz w:val="22"/>
                <w:szCs w:val="22"/>
              </w:rPr>
              <w:t>ing</w:t>
            </w:r>
            <w:r w:rsidR="00C974FC" w:rsidRPr="00AB0AC8">
              <w:rPr>
                <w:sz w:val="22"/>
                <w:szCs w:val="22"/>
              </w:rPr>
              <w:t xml:space="preserve"> in </w:t>
            </w:r>
            <w:r w:rsidR="005836BC">
              <w:rPr>
                <w:sz w:val="22"/>
                <w:szCs w:val="22"/>
              </w:rPr>
              <w:t xml:space="preserve">increased </w:t>
            </w:r>
            <w:r w:rsidR="00C974FC" w:rsidRPr="00AB0AC8">
              <w:rPr>
                <w:sz w:val="22"/>
                <w:szCs w:val="22"/>
              </w:rPr>
              <w:t xml:space="preserve">life expectancy. </w:t>
            </w:r>
            <w:r>
              <w:rPr>
                <w:sz w:val="22"/>
                <w:szCs w:val="22"/>
              </w:rPr>
              <w:t>C</w:t>
            </w:r>
            <w:r w:rsidR="00AB0AC8" w:rsidRPr="00AB0AC8">
              <w:rPr>
                <w:sz w:val="22"/>
                <w:szCs w:val="22"/>
              </w:rPr>
              <w:t>ystic fibrosis transmembrane regulator</w:t>
            </w:r>
            <w:r w:rsidR="00C974FC" w:rsidRPr="00AB0AC8">
              <w:rPr>
                <w:sz w:val="22"/>
                <w:szCs w:val="22"/>
              </w:rPr>
              <w:t xml:space="preserve"> modulator therapies</w:t>
            </w:r>
            <w:r w:rsidR="00AB0AC8" w:rsidRPr="00AB0AC8">
              <w:rPr>
                <w:sz w:val="22"/>
                <w:szCs w:val="22"/>
              </w:rPr>
              <w:t xml:space="preserve"> (</w:t>
            </w:r>
            <w:proofErr w:type="spellStart"/>
            <w:r w:rsidR="00AB0AC8" w:rsidRPr="00AB0AC8">
              <w:rPr>
                <w:sz w:val="22"/>
                <w:szCs w:val="22"/>
              </w:rPr>
              <w:t>CFTRmt</w:t>
            </w:r>
            <w:proofErr w:type="spellEnd"/>
            <w:r w:rsidR="00AB0AC8" w:rsidRPr="00AB0AC8">
              <w:rPr>
                <w:sz w:val="22"/>
                <w:szCs w:val="22"/>
              </w:rPr>
              <w:t>)</w:t>
            </w:r>
            <w:r w:rsidR="00401187">
              <w:rPr>
                <w:sz w:val="22"/>
                <w:szCs w:val="22"/>
              </w:rPr>
              <w:t xml:space="preserve"> currently</w:t>
            </w:r>
            <w:r w:rsidR="00C974FC" w:rsidRPr="00AB0A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provide</w:t>
            </w:r>
            <w:r w:rsidR="00C974FC" w:rsidRPr="00AB0AC8">
              <w:rPr>
                <w:sz w:val="22"/>
                <w:szCs w:val="22"/>
              </w:rPr>
              <w:t xml:space="preserve"> the greatest hope of improved</w:t>
            </w:r>
            <w:r>
              <w:rPr>
                <w:sz w:val="22"/>
                <w:szCs w:val="22"/>
              </w:rPr>
              <w:t xml:space="preserve"> health</w:t>
            </w:r>
            <w:r w:rsidR="00C974FC" w:rsidRPr="00AB0AC8">
              <w:rPr>
                <w:sz w:val="22"/>
                <w:szCs w:val="22"/>
              </w:rPr>
              <w:t>.</w:t>
            </w:r>
            <w:r w:rsidR="00AB0AC8" w:rsidRPr="00AB0AC8">
              <w:rPr>
                <w:sz w:val="22"/>
                <w:szCs w:val="22"/>
              </w:rPr>
              <w:t xml:space="preserve"> </w:t>
            </w:r>
            <w:proofErr w:type="spellStart"/>
            <w:r w:rsidR="00AB0AC8" w:rsidRPr="00AB0AC8">
              <w:rPr>
                <w:sz w:val="22"/>
                <w:szCs w:val="22"/>
              </w:rPr>
              <w:t>Elexacaftor</w:t>
            </w:r>
            <w:proofErr w:type="spellEnd"/>
            <w:r w:rsidR="00AB0AC8" w:rsidRPr="00AB0AC8">
              <w:rPr>
                <w:sz w:val="22"/>
                <w:szCs w:val="22"/>
              </w:rPr>
              <w:t>-</w:t>
            </w:r>
            <w:proofErr w:type="spellStart"/>
            <w:r w:rsidR="00AB0AC8" w:rsidRPr="00AB0AC8">
              <w:rPr>
                <w:sz w:val="22"/>
                <w:szCs w:val="22"/>
              </w:rPr>
              <w:t>Tezacaftor</w:t>
            </w:r>
            <w:proofErr w:type="spellEnd"/>
            <w:r w:rsidR="00AB0AC8" w:rsidRPr="00AB0AC8">
              <w:rPr>
                <w:sz w:val="22"/>
                <w:szCs w:val="22"/>
              </w:rPr>
              <w:t>-Ivacaftor (ETI) (</w:t>
            </w:r>
            <w:proofErr w:type="spellStart"/>
            <w:r w:rsidR="00AB0AC8" w:rsidRPr="00AB0AC8">
              <w:rPr>
                <w:sz w:val="22"/>
                <w:szCs w:val="22"/>
              </w:rPr>
              <w:t>Trikafta</w:t>
            </w:r>
            <w:r w:rsidR="00AB0AC8" w:rsidRPr="00AB0AC8">
              <w:rPr>
                <w:sz w:val="22"/>
                <w:szCs w:val="22"/>
                <w:vertAlign w:val="superscript"/>
              </w:rPr>
              <w:t>Tm</w:t>
            </w:r>
            <w:proofErr w:type="spellEnd"/>
            <w:r w:rsidR="00AB0AC8" w:rsidRPr="00AB0AC8">
              <w:rPr>
                <w:sz w:val="22"/>
                <w:szCs w:val="22"/>
              </w:rPr>
              <w:t>)</w:t>
            </w:r>
            <w:r w:rsidR="00AB0AC8">
              <w:rPr>
                <w:sz w:val="22"/>
                <w:szCs w:val="22"/>
              </w:rPr>
              <w:t xml:space="preserve"> </w:t>
            </w:r>
            <w:r w:rsidR="00671225">
              <w:rPr>
                <w:sz w:val="22"/>
                <w:szCs w:val="22"/>
              </w:rPr>
              <w:t xml:space="preserve">is currently the most efficacious </w:t>
            </w:r>
            <w:proofErr w:type="spellStart"/>
            <w:r w:rsidR="00671225">
              <w:rPr>
                <w:sz w:val="22"/>
                <w:szCs w:val="22"/>
              </w:rPr>
              <w:t>CFTRmt</w:t>
            </w:r>
            <w:proofErr w:type="spellEnd"/>
            <w:r>
              <w:rPr>
                <w:sz w:val="22"/>
                <w:szCs w:val="22"/>
              </w:rPr>
              <w:t>. P</w:t>
            </w:r>
            <w:r w:rsidR="00671225">
              <w:rPr>
                <w:sz w:val="22"/>
                <w:szCs w:val="22"/>
              </w:rPr>
              <w:t xml:space="preserve">harmaceutical benefits scheme </w:t>
            </w:r>
            <w:r>
              <w:rPr>
                <w:sz w:val="22"/>
                <w:szCs w:val="22"/>
              </w:rPr>
              <w:t xml:space="preserve">access to ETI commenced </w:t>
            </w:r>
            <w:r w:rsidR="00671225">
              <w:rPr>
                <w:sz w:val="22"/>
                <w:szCs w:val="22"/>
              </w:rPr>
              <w:t>on 1</w:t>
            </w:r>
            <w:r w:rsidR="00671225" w:rsidRPr="00671225">
              <w:rPr>
                <w:sz w:val="22"/>
                <w:szCs w:val="22"/>
                <w:vertAlign w:val="superscript"/>
              </w:rPr>
              <w:t>st</w:t>
            </w:r>
            <w:r w:rsidR="00671225">
              <w:rPr>
                <w:sz w:val="22"/>
                <w:szCs w:val="22"/>
              </w:rPr>
              <w:t xml:space="preserve"> April 2022 for people with CF aged &gt;12 years old, </w:t>
            </w:r>
            <w:r>
              <w:rPr>
                <w:sz w:val="22"/>
                <w:szCs w:val="22"/>
              </w:rPr>
              <w:t>with</w:t>
            </w:r>
            <w:r w:rsidR="00671225">
              <w:rPr>
                <w:sz w:val="22"/>
                <w:szCs w:val="22"/>
              </w:rPr>
              <w:t xml:space="preserve"> a F508del CFTR gene mutation. Prior to </w:t>
            </w:r>
            <w:r>
              <w:rPr>
                <w:sz w:val="22"/>
                <w:szCs w:val="22"/>
              </w:rPr>
              <w:t xml:space="preserve">this </w:t>
            </w:r>
            <w:r w:rsidR="00401187">
              <w:rPr>
                <w:sz w:val="22"/>
                <w:szCs w:val="22"/>
              </w:rPr>
              <w:t>access in Australia</w:t>
            </w:r>
            <w:r w:rsidR="00671225">
              <w:rPr>
                <w:sz w:val="22"/>
                <w:szCs w:val="22"/>
              </w:rPr>
              <w:t xml:space="preserve"> </w:t>
            </w:r>
            <w:r w:rsidR="00401187">
              <w:rPr>
                <w:sz w:val="22"/>
                <w:szCs w:val="22"/>
              </w:rPr>
              <w:t xml:space="preserve">was </w:t>
            </w:r>
            <w:r w:rsidR="00671225">
              <w:rPr>
                <w:sz w:val="22"/>
                <w:szCs w:val="22"/>
              </w:rPr>
              <w:t>limited to clinical trial and compassionate access</w:t>
            </w:r>
            <w:r w:rsidR="00B279EC">
              <w:rPr>
                <w:sz w:val="22"/>
                <w:szCs w:val="22"/>
              </w:rPr>
              <w:t xml:space="preserve"> (FEV</w:t>
            </w:r>
            <w:r w:rsidR="00B279EC" w:rsidRPr="00002FD6">
              <w:rPr>
                <w:sz w:val="22"/>
                <w:szCs w:val="22"/>
                <w:vertAlign w:val="subscript"/>
              </w:rPr>
              <w:t xml:space="preserve">1 </w:t>
            </w:r>
            <w:r w:rsidR="00B279EC">
              <w:rPr>
                <w:sz w:val="22"/>
                <w:szCs w:val="22"/>
              </w:rPr>
              <w:t>percentage predicted &lt;30% or rapidly deteriorating lung function)</w:t>
            </w:r>
            <w:r w:rsidR="00671225">
              <w:rPr>
                <w:sz w:val="22"/>
                <w:szCs w:val="22"/>
              </w:rPr>
              <w:t xml:space="preserve"> use. </w:t>
            </w:r>
            <w:r>
              <w:rPr>
                <w:sz w:val="22"/>
                <w:szCs w:val="22"/>
              </w:rPr>
              <w:t>We</w:t>
            </w:r>
            <w:r w:rsidR="00671225">
              <w:rPr>
                <w:sz w:val="22"/>
                <w:szCs w:val="22"/>
              </w:rPr>
              <w:t xml:space="preserve"> assess the impact of </w:t>
            </w:r>
            <w:r>
              <w:rPr>
                <w:sz w:val="22"/>
                <w:szCs w:val="22"/>
              </w:rPr>
              <w:t xml:space="preserve">access to </w:t>
            </w:r>
            <w:r w:rsidR="00671225">
              <w:rPr>
                <w:sz w:val="22"/>
                <w:szCs w:val="22"/>
              </w:rPr>
              <w:t xml:space="preserve">ETI through clinical trial and compassionate </w:t>
            </w:r>
            <w:r w:rsidR="00CB159F">
              <w:rPr>
                <w:sz w:val="22"/>
                <w:szCs w:val="22"/>
              </w:rPr>
              <w:t>use</w:t>
            </w:r>
            <w:r w:rsidR="00671225">
              <w:rPr>
                <w:sz w:val="22"/>
                <w:szCs w:val="22"/>
              </w:rPr>
              <w:t xml:space="preserve"> upon healthcare utilisation by people with CF</w:t>
            </w:r>
            <w:r w:rsidR="005361C7">
              <w:rPr>
                <w:sz w:val="22"/>
                <w:szCs w:val="22"/>
              </w:rPr>
              <w:t>.</w:t>
            </w:r>
          </w:p>
          <w:p w14:paraId="1D9EC280" w14:textId="77777777" w:rsidR="005D444C" w:rsidRDefault="005D444C" w:rsidP="00401187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1B39336E" w14:textId="7AFB815D" w:rsidR="001564A4" w:rsidRPr="0050053A" w:rsidRDefault="001564A4" w:rsidP="0040118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C76B250" w14:textId="63460E82" w:rsidR="001564A4" w:rsidRPr="0050053A" w:rsidRDefault="005361C7" w:rsidP="00401187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01187">
              <w:rPr>
                <w:sz w:val="22"/>
                <w:szCs w:val="22"/>
              </w:rPr>
              <w:t xml:space="preserve">ingle centre </w:t>
            </w:r>
            <w:r w:rsidR="00B57FBB">
              <w:rPr>
                <w:sz w:val="22"/>
                <w:szCs w:val="22"/>
              </w:rPr>
              <w:t>retrospective study of adults with CF</w:t>
            </w:r>
            <w:r w:rsidR="00401187">
              <w:rPr>
                <w:sz w:val="22"/>
                <w:szCs w:val="22"/>
              </w:rPr>
              <w:t xml:space="preserve"> receiving specialist</w:t>
            </w:r>
            <w:r w:rsidR="00B57FBB">
              <w:rPr>
                <w:sz w:val="22"/>
                <w:szCs w:val="22"/>
              </w:rPr>
              <w:t xml:space="preserve"> CF service </w:t>
            </w:r>
            <w:r w:rsidR="00401187">
              <w:rPr>
                <w:sz w:val="22"/>
                <w:szCs w:val="22"/>
              </w:rPr>
              <w:t xml:space="preserve">care </w:t>
            </w:r>
            <w:r w:rsidR="00B57FBB">
              <w:rPr>
                <w:sz w:val="22"/>
                <w:szCs w:val="22"/>
              </w:rPr>
              <w:t xml:space="preserve">between January 2017 </w:t>
            </w:r>
            <w:r>
              <w:rPr>
                <w:sz w:val="22"/>
                <w:szCs w:val="22"/>
              </w:rPr>
              <w:t>and</w:t>
            </w:r>
            <w:r w:rsidR="00B57FBB">
              <w:rPr>
                <w:sz w:val="22"/>
                <w:szCs w:val="22"/>
              </w:rPr>
              <w:t xml:space="preserve"> December 2021. Data was obtained from electronic CF clinical databases, and health information services. Healthcare utilisation (</w:t>
            </w:r>
            <w:r>
              <w:rPr>
                <w:sz w:val="22"/>
                <w:szCs w:val="22"/>
              </w:rPr>
              <w:t xml:space="preserve">hospital </w:t>
            </w:r>
            <w:r w:rsidR="00B57FBB">
              <w:rPr>
                <w:sz w:val="22"/>
                <w:szCs w:val="22"/>
              </w:rPr>
              <w:t>admissions,</w:t>
            </w:r>
            <w:r>
              <w:rPr>
                <w:sz w:val="22"/>
                <w:szCs w:val="22"/>
              </w:rPr>
              <w:t xml:space="preserve"> outpatient attendances and associated</w:t>
            </w:r>
            <w:r w:rsidR="00B57FBB">
              <w:rPr>
                <w:sz w:val="22"/>
                <w:szCs w:val="22"/>
              </w:rPr>
              <w:t xml:space="preserve"> costs) as well as FEV</w:t>
            </w:r>
            <w:r w:rsidR="00B57FBB" w:rsidRPr="00002FD6">
              <w:rPr>
                <w:sz w:val="22"/>
                <w:szCs w:val="22"/>
                <w:vertAlign w:val="subscript"/>
              </w:rPr>
              <w:t>1</w:t>
            </w:r>
            <w:r w:rsidR="00B57FBB">
              <w:rPr>
                <w:sz w:val="22"/>
                <w:szCs w:val="22"/>
              </w:rPr>
              <w:t xml:space="preserve">, weight and BMI were compared between treatment (clinical trial </w:t>
            </w:r>
            <w:r w:rsidR="00B279EC">
              <w:rPr>
                <w:sz w:val="22"/>
                <w:szCs w:val="22"/>
              </w:rPr>
              <w:t>or</w:t>
            </w:r>
            <w:r w:rsidR="00B57FBB">
              <w:rPr>
                <w:sz w:val="22"/>
                <w:szCs w:val="22"/>
              </w:rPr>
              <w:t xml:space="preserve"> compassi</w:t>
            </w:r>
            <w:r w:rsidR="00401187">
              <w:rPr>
                <w:sz w:val="22"/>
                <w:szCs w:val="22"/>
              </w:rPr>
              <w:t>on</w:t>
            </w:r>
            <w:r w:rsidR="00B57FBB">
              <w:rPr>
                <w:sz w:val="22"/>
                <w:szCs w:val="22"/>
              </w:rPr>
              <w:t xml:space="preserve">ate) and routine care groups. </w:t>
            </w:r>
          </w:p>
          <w:p w14:paraId="681E3FB2" w14:textId="77777777" w:rsidR="005D444C" w:rsidRDefault="005D444C" w:rsidP="00401187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6BF3F094" w14:textId="6E9869C3" w:rsidR="001564A4" w:rsidRPr="0050053A" w:rsidRDefault="001564A4" w:rsidP="0040118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20F67735" w14:textId="2BD6BF5E" w:rsidR="0011284B" w:rsidRDefault="005D444C" w:rsidP="00401187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310 patients, 62 received ETI (n=31 for clinical trial, n=31 for compassionate reasons).</w:t>
            </w:r>
            <w:r w:rsidR="00B279EC">
              <w:rPr>
                <w:sz w:val="22"/>
                <w:szCs w:val="22"/>
              </w:rPr>
              <w:t xml:space="preserve"> </w:t>
            </w:r>
            <w:r w:rsidR="005361C7">
              <w:rPr>
                <w:sz w:val="22"/>
                <w:szCs w:val="22"/>
              </w:rPr>
              <w:t>B</w:t>
            </w:r>
            <w:r w:rsidR="00B279EC">
              <w:rPr>
                <w:sz w:val="22"/>
                <w:szCs w:val="22"/>
              </w:rPr>
              <w:t>aseline lung function and BMI were lower in the compassionate access and clinical trials groups, with increased health care costs (hospital admission and outpatient attendances) in the compassionate access group</w:t>
            </w:r>
            <w:r w:rsidR="006C3FCA">
              <w:rPr>
                <w:sz w:val="22"/>
                <w:szCs w:val="22"/>
              </w:rPr>
              <w:t>,</w:t>
            </w:r>
            <w:r w:rsidR="00B279EC">
              <w:rPr>
                <w:sz w:val="22"/>
                <w:szCs w:val="22"/>
              </w:rPr>
              <w:t xml:space="preserve"> compared to routine care. </w:t>
            </w:r>
            <w:r>
              <w:rPr>
                <w:sz w:val="22"/>
                <w:szCs w:val="22"/>
              </w:rPr>
              <w:t xml:space="preserve"> </w:t>
            </w:r>
            <w:r w:rsidR="00685FB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edian</w:t>
            </w:r>
            <w:r w:rsidR="00685FBA">
              <w:rPr>
                <w:sz w:val="22"/>
                <w:szCs w:val="22"/>
              </w:rPr>
              <w:t xml:space="preserve"> hospital days reduced by 1day/month (SD 0-2) in the clinical trial and 2days/month (SD 0-5) in compassionate access groups compared to routine care</w:t>
            </w:r>
            <w:r w:rsidR="00135904">
              <w:rPr>
                <w:sz w:val="22"/>
                <w:szCs w:val="22"/>
              </w:rPr>
              <w:t xml:space="preserve">. </w:t>
            </w:r>
            <w:r w:rsidR="005361C7">
              <w:rPr>
                <w:sz w:val="22"/>
                <w:szCs w:val="22"/>
              </w:rPr>
              <w:t>H</w:t>
            </w:r>
            <w:r w:rsidR="00135904">
              <w:rPr>
                <w:sz w:val="22"/>
                <w:szCs w:val="22"/>
              </w:rPr>
              <w:t>ealth care cost</w:t>
            </w:r>
            <w:r w:rsidR="006C3FCA">
              <w:rPr>
                <w:sz w:val="22"/>
                <w:szCs w:val="22"/>
              </w:rPr>
              <w:t>s</w:t>
            </w:r>
            <w:r w:rsidR="00135904">
              <w:rPr>
                <w:sz w:val="22"/>
                <w:szCs w:val="22"/>
              </w:rPr>
              <w:t xml:space="preserve"> reduced by $100/day (SD $16-</w:t>
            </w:r>
            <w:r w:rsidR="005361C7">
              <w:rPr>
                <w:sz w:val="22"/>
                <w:szCs w:val="22"/>
              </w:rPr>
              <w:t>$</w:t>
            </w:r>
            <w:r w:rsidR="00135904">
              <w:rPr>
                <w:sz w:val="22"/>
                <w:szCs w:val="22"/>
              </w:rPr>
              <w:t>148) in the clinical trial group and $204/day (SD $101-$294)</w:t>
            </w:r>
            <w:r w:rsidR="00593ACF">
              <w:rPr>
                <w:sz w:val="22"/>
                <w:szCs w:val="22"/>
              </w:rPr>
              <w:t xml:space="preserve"> in the compassionate access group</w:t>
            </w:r>
            <w:r w:rsidR="0011284B">
              <w:rPr>
                <w:sz w:val="22"/>
                <w:szCs w:val="22"/>
              </w:rPr>
              <w:t>. Lung function and BMI improved on both</w:t>
            </w:r>
            <w:r>
              <w:rPr>
                <w:sz w:val="22"/>
                <w:szCs w:val="22"/>
              </w:rPr>
              <w:t xml:space="preserve"> ETI </w:t>
            </w:r>
            <w:r w:rsidR="0011284B">
              <w:rPr>
                <w:sz w:val="22"/>
                <w:szCs w:val="22"/>
              </w:rPr>
              <w:t xml:space="preserve">treatment </w:t>
            </w:r>
            <w:r>
              <w:rPr>
                <w:sz w:val="22"/>
                <w:szCs w:val="22"/>
              </w:rPr>
              <w:t>groups compared.</w:t>
            </w:r>
          </w:p>
          <w:p w14:paraId="6CE9FCCA" w14:textId="2A47FC6E" w:rsidR="005D444C" w:rsidRDefault="005D444C" w:rsidP="00401187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16D24CAB" w14:textId="77777777" w:rsidR="0011284B" w:rsidRDefault="001564A4" w:rsidP="0040118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</w:p>
          <w:p w14:paraId="652F7BE1" w14:textId="274B824B" w:rsidR="001564A4" w:rsidRPr="0050053A" w:rsidRDefault="001564A4" w:rsidP="0040118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 </w:t>
            </w:r>
          </w:p>
          <w:p w14:paraId="2A651708" w14:textId="7F0A29FD" w:rsidR="001564A4" w:rsidRPr="0050053A" w:rsidRDefault="0011284B" w:rsidP="00401187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of ETI through both clinical trials and compassionate was associated with a reduction in </w:t>
            </w:r>
            <w:r w:rsidR="00B279EC">
              <w:rPr>
                <w:sz w:val="22"/>
                <w:szCs w:val="22"/>
              </w:rPr>
              <w:t>days of hospital care and associated costs</w:t>
            </w:r>
            <w:r w:rsidR="00720AF9">
              <w:rPr>
                <w:sz w:val="22"/>
                <w:szCs w:val="22"/>
              </w:rPr>
              <w:t>.</w:t>
            </w:r>
          </w:p>
          <w:p w14:paraId="033167F9" w14:textId="77777777" w:rsidR="001564A4" w:rsidRPr="0050053A" w:rsidRDefault="001564A4" w:rsidP="00401187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6347A09F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F31D08" w:rsidRPr="00A85C35">
              <w:rPr>
                <w:rStyle w:val="A4"/>
              </w:rPr>
              <w:t>Nil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2FD6"/>
    <w:rsid w:val="000079D7"/>
    <w:rsid w:val="0011284B"/>
    <w:rsid w:val="00135904"/>
    <w:rsid w:val="001564A4"/>
    <w:rsid w:val="002D1DF3"/>
    <w:rsid w:val="003D595B"/>
    <w:rsid w:val="00401187"/>
    <w:rsid w:val="0051574E"/>
    <w:rsid w:val="005361C7"/>
    <w:rsid w:val="005836BC"/>
    <w:rsid w:val="00593ACF"/>
    <w:rsid w:val="005D2889"/>
    <w:rsid w:val="005D444C"/>
    <w:rsid w:val="005F722E"/>
    <w:rsid w:val="00671225"/>
    <w:rsid w:val="00681322"/>
    <w:rsid w:val="00685FBA"/>
    <w:rsid w:val="006C3FCA"/>
    <w:rsid w:val="00720AF9"/>
    <w:rsid w:val="008803FA"/>
    <w:rsid w:val="00933B21"/>
    <w:rsid w:val="00A85C35"/>
    <w:rsid w:val="00AB0AC8"/>
    <w:rsid w:val="00B12E32"/>
    <w:rsid w:val="00B279EC"/>
    <w:rsid w:val="00B57FBB"/>
    <w:rsid w:val="00C974FC"/>
    <w:rsid w:val="00CB159F"/>
    <w:rsid w:val="00DC0B0F"/>
    <w:rsid w:val="00E0700F"/>
    <w:rsid w:val="00F3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C0B0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55B39-135E-784D-A1EC-8FC200BC8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Ms Sarah Kentwell</cp:lastModifiedBy>
  <cp:revision>2</cp:revision>
  <dcterms:created xsi:type="dcterms:W3CDTF">2023-10-22T23:33:00Z</dcterms:created>
  <dcterms:modified xsi:type="dcterms:W3CDTF">2023-10-22T23:33:00Z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