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20" w:rsidRPr="001C54B5" w:rsidRDefault="00491920" w:rsidP="001C54B5">
      <w:pPr>
        <w:autoSpaceDE w:val="0"/>
        <w:autoSpaceDN w:val="0"/>
        <w:adjustRightInd w:val="0"/>
        <w:spacing w:after="0" w:line="240" w:lineRule="auto"/>
        <w:rPr>
          <w:rFonts w:ascii="Arial" w:eastAsia="FreeSerifItalic" w:hAnsi="Arial" w:cs="Arial"/>
          <w:i/>
          <w:iCs/>
          <w:lang w:eastAsia="zh-CN"/>
        </w:rPr>
      </w:pPr>
    </w:p>
    <w:tbl>
      <w:tblPr>
        <w:tblStyle w:val="TableGrid"/>
        <w:tblW w:w="8210" w:type="dxa"/>
        <w:tblInd w:w="108" w:type="dxa"/>
        <w:tblLayout w:type="fixed"/>
        <w:tblLook w:val="01E0" w:firstRow="1" w:lastRow="1" w:firstColumn="1" w:lastColumn="1" w:noHBand="0" w:noVBand="0"/>
      </w:tblPr>
      <w:tblGrid>
        <w:gridCol w:w="8210"/>
      </w:tblGrid>
      <w:tr w:rsidR="00CD2239" w:rsidRPr="001C54B5" w:rsidTr="004A7606">
        <w:trPr>
          <w:trHeight w:val="941"/>
        </w:trPr>
        <w:tc>
          <w:tcPr>
            <w:tcW w:w="8210" w:type="dxa"/>
          </w:tcPr>
          <w:p w:rsidR="00720587" w:rsidRDefault="00CD2239" w:rsidP="00720587">
            <w:pPr>
              <w:rPr>
                <w:rFonts w:asciiTheme="majorBidi" w:hAnsiTheme="majorBidi" w:cstheme="majorBidi"/>
                <w:b/>
                <w:bCs/>
                <w:kern w:val="36"/>
                <w:sz w:val="24"/>
                <w:szCs w:val="24"/>
              </w:rPr>
            </w:pPr>
            <w:r w:rsidRPr="001C54B5">
              <w:rPr>
                <w:rFonts w:ascii="Arial" w:hAnsi="Arial" w:cs="Arial"/>
                <w:b/>
                <w:sz w:val="22"/>
                <w:szCs w:val="22"/>
              </w:rPr>
              <w:t>Title of Research Presentation</w:t>
            </w:r>
            <w:r w:rsidRPr="00720587">
              <w:rPr>
                <w:rFonts w:ascii="Arial" w:hAnsi="Arial" w:cs="Arial"/>
                <w:b/>
                <w:i/>
                <w:sz w:val="22"/>
                <w:szCs w:val="22"/>
              </w:rPr>
              <w:t xml:space="preserve">: </w:t>
            </w:r>
            <w:r w:rsidR="00720587" w:rsidRPr="00720587">
              <w:rPr>
                <w:rFonts w:ascii="Arial" w:hAnsi="Arial" w:cs="Arial"/>
                <w:b/>
                <w:i/>
                <w:sz w:val="22"/>
                <w:szCs w:val="22"/>
              </w:rPr>
              <w:t xml:space="preserve">Barriers and facilitators of health </w:t>
            </w:r>
            <w:r w:rsidR="008B439F">
              <w:rPr>
                <w:rFonts w:ascii="Arial" w:hAnsi="Arial" w:cs="Arial"/>
                <w:b/>
                <w:i/>
                <w:sz w:val="22"/>
                <w:szCs w:val="22"/>
              </w:rPr>
              <w:t>promoters</w:t>
            </w:r>
            <w:r w:rsidR="00CE3EAF">
              <w:rPr>
                <w:rFonts w:ascii="Arial" w:hAnsi="Arial" w:cs="Arial"/>
                <w:b/>
                <w:i/>
                <w:sz w:val="22"/>
                <w:szCs w:val="22"/>
              </w:rPr>
              <w:t>’</w:t>
            </w:r>
            <w:r w:rsidR="00720587" w:rsidRPr="00720587">
              <w:rPr>
                <w:rFonts w:ascii="Arial" w:hAnsi="Arial" w:cs="Arial"/>
                <w:b/>
                <w:i/>
                <w:sz w:val="22"/>
                <w:szCs w:val="22"/>
              </w:rPr>
              <w:t xml:space="preserve"> involvement in public policies addressing the social determinants of health: the case of cash transfer</w:t>
            </w:r>
            <w:r w:rsidR="001A288F">
              <w:rPr>
                <w:rFonts w:ascii="Arial" w:hAnsi="Arial" w:cs="Arial"/>
                <w:b/>
                <w:i/>
                <w:sz w:val="22"/>
                <w:szCs w:val="22"/>
              </w:rPr>
              <w:t>s</w:t>
            </w:r>
            <w:r w:rsidR="00720587" w:rsidRPr="00720587">
              <w:rPr>
                <w:rFonts w:ascii="Arial" w:hAnsi="Arial" w:cs="Arial"/>
                <w:b/>
                <w:i/>
                <w:sz w:val="22"/>
                <w:szCs w:val="22"/>
              </w:rPr>
              <w:t xml:space="preserve"> </w:t>
            </w:r>
          </w:p>
          <w:p w:rsidR="00CD2239" w:rsidRPr="001C54B5" w:rsidRDefault="00CD2239" w:rsidP="00EA73B7">
            <w:pPr>
              <w:jc w:val="both"/>
              <w:rPr>
                <w:rFonts w:ascii="Arial" w:hAnsi="Arial" w:cs="Arial"/>
                <w:b/>
                <w:i/>
                <w:sz w:val="22"/>
                <w:szCs w:val="22"/>
              </w:rPr>
            </w:pPr>
          </w:p>
        </w:tc>
      </w:tr>
      <w:tr w:rsidR="00CD2239" w:rsidRPr="001C54B5" w:rsidTr="004A7606">
        <w:trPr>
          <w:trHeight w:val="11168"/>
        </w:trPr>
        <w:tc>
          <w:tcPr>
            <w:tcW w:w="8210" w:type="dxa"/>
          </w:tcPr>
          <w:p w:rsidR="004E13E1" w:rsidRPr="00401444" w:rsidRDefault="004E13E1" w:rsidP="004E13E1">
            <w:pPr>
              <w:jc w:val="both"/>
              <w:rPr>
                <w:rFonts w:ascii="Arial" w:hAnsi="Arial" w:cs="Arial"/>
                <w:b/>
                <w:sz w:val="22"/>
                <w:szCs w:val="22"/>
              </w:rPr>
            </w:pPr>
            <w:r w:rsidRPr="00401444">
              <w:rPr>
                <w:rFonts w:ascii="Arial" w:hAnsi="Arial" w:cs="Arial"/>
                <w:b/>
                <w:sz w:val="22"/>
                <w:szCs w:val="22"/>
              </w:rPr>
              <w:t>Background/Objectives</w:t>
            </w:r>
          </w:p>
          <w:p w:rsidR="004E13E1" w:rsidRPr="00401444" w:rsidRDefault="004E13E1" w:rsidP="004E13E1">
            <w:pPr>
              <w:jc w:val="both"/>
              <w:rPr>
                <w:rFonts w:ascii="Arial" w:eastAsia="Calibri" w:hAnsi="Arial" w:cs="Arial"/>
                <w:sz w:val="22"/>
                <w:szCs w:val="22"/>
              </w:rPr>
            </w:pPr>
            <w:r w:rsidRPr="00401444">
              <w:rPr>
                <w:rFonts w:ascii="Arial" w:eastAsia="Calibri" w:hAnsi="Arial" w:cs="Arial"/>
                <w:sz w:val="22"/>
                <w:szCs w:val="22"/>
              </w:rPr>
              <w:t>While the health promotion field has acknowledged the role of public policy in addressing the social determinants of health (</w:t>
            </w:r>
            <w:proofErr w:type="spellStart"/>
            <w:r w:rsidRPr="00401444">
              <w:rPr>
                <w:rFonts w:ascii="Arial" w:eastAsia="Calibri" w:hAnsi="Arial" w:cs="Arial"/>
                <w:sz w:val="22"/>
                <w:szCs w:val="22"/>
              </w:rPr>
              <w:t>SDoH</w:t>
            </w:r>
            <w:proofErr w:type="spellEnd"/>
            <w:r w:rsidRPr="00401444">
              <w:rPr>
                <w:rFonts w:ascii="Arial" w:eastAsia="Calibri" w:hAnsi="Arial" w:cs="Arial"/>
                <w:sz w:val="22"/>
                <w:szCs w:val="22"/>
              </w:rPr>
              <w:t xml:space="preserve">), translating this into action has been challenging. </w:t>
            </w:r>
            <w:r>
              <w:rPr>
                <w:rFonts w:ascii="Arial" w:eastAsia="Calibri" w:hAnsi="Arial" w:cs="Arial"/>
                <w:sz w:val="22"/>
                <w:szCs w:val="22"/>
              </w:rPr>
              <w:t>Cash transfers (CTs)</w:t>
            </w:r>
            <w:r w:rsidRPr="00401444">
              <w:rPr>
                <w:rFonts w:ascii="Arial" w:eastAsia="Calibri" w:hAnsi="Arial" w:cs="Arial"/>
                <w:sz w:val="22"/>
                <w:szCs w:val="22"/>
              </w:rPr>
              <w:t xml:space="preserve"> </w:t>
            </w:r>
            <w:r>
              <w:rPr>
                <w:rFonts w:ascii="Arial" w:eastAsia="Calibri" w:hAnsi="Arial" w:cs="Arial"/>
                <w:sz w:val="22"/>
                <w:szCs w:val="22"/>
              </w:rPr>
              <w:t xml:space="preserve">are a major </w:t>
            </w:r>
            <w:r w:rsidRPr="00401444">
              <w:rPr>
                <w:rFonts w:ascii="Arial" w:eastAsia="Calibri" w:hAnsi="Arial" w:cs="Arial"/>
                <w:sz w:val="22"/>
                <w:szCs w:val="22"/>
              </w:rPr>
              <w:t xml:space="preserve">antipoverty social </w:t>
            </w:r>
            <w:r>
              <w:rPr>
                <w:rFonts w:ascii="Arial" w:eastAsia="Calibri" w:hAnsi="Arial" w:cs="Arial"/>
                <w:sz w:val="22"/>
                <w:szCs w:val="22"/>
              </w:rPr>
              <w:t>policy initiative in low and middle-income countries that</w:t>
            </w:r>
            <w:r w:rsidRPr="00401444">
              <w:rPr>
                <w:rFonts w:ascii="Arial" w:eastAsia="Calibri" w:hAnsi="Arial" w:cs="Arial"/>
                <w:sz w:val="22"/>
                <w:szCs w:val="22"/>
              </w:rPr>
              <w:t xml:space="preserve"> have the potential to promote health equity through action on the </w:t>
            </w:r>
            <w:proofErr w:type="spellStart"/>
            <w:r w:rsidRPr="00401444">
              <w:rPr>
                <w:rFonts w:ascii="Arial" w:eastAsia="Calibri" w:hAnsi="Arial" w:cs="Arial"/>
                <w:sz w:val="22"/>
                <w:szCs w:val="22"/>
              </w:rPr>
              <w:t>SDoH</w:t>
            </w:r>
            <w:proofErr w:type="spellEnd"/>
            <w:r w:rsidRPr="00401444">
              <w:rPr>
                <w:rFonts w:ascii="Arial" w:eastAsia="Calibri" w:hAnsi="Arial" w:cs="Arial"/>
                <w:sz w:val="22"/>
                <w:szCs w:val="22"/>
              </w:rPr>
              <w:t>. However, a recent publication by the World Health Organisation lamented the low involvement of the health sector in CTs. The aim of this paper is to explore the barriers and facilitators of health promoters’ involvement in a large scale government run CT</w:t>
            </w:r>
            <w:r>
              <w:rPr>
                <w:rFonts w:ascii="Arial" w:eastAsia="Calibri" w:hAnsi="Arial" w:cs="Arial"/>
                <w:sz w:val="22"/>
                <w:szCs w:val="22"/>
              </w:rPr>
              <w:t>s</w:t>
            </w:r>
            <w:r w:rsidRPr="00401444">
              <w:rPr>
                <w:rFonts w:ascii="Arial" w:eastAsia="Calibri" w:hAnsi="Arial" w:cs="Arial"/>
                <w:sz w:val="22"/>
                <w:szCs w:val="22"/>
              </w:rPr>
              <w:t>, an</w:t>
            </w:r>
            <w:bookmarkStart w:id="0" w:name="_GoBack"/>
            <w:bookmarkEnd w:id="0"/>
            <w:r w:rsidRPr="00401444">
              <w:rPr>
                <w:rFonts w:ascii="Arial" w:eastAsia="Calibri" w:hAnsi="Arial" w:cs="Arial"/>
                <w:sz w:val="22"/>
                <w:szCs w:val="22"/>
              </w:rPr>
              <w:t xml:space="preserve">d to understand how their involvement can help optimise programs’ impacts on the </w:t>
            </w:r>
            <w:proofErr w:type="spellStart"/>
            <w:r w:rsidRPr="00401444">
              <w:rPr>
                <w:rFonts w:ascii="Arial" w:eastAsia="Calibri" w:hAnsi="Arial" w:cs="Arial"/>
                <w:sz w:val="22"/>
                <w:szCs w:val="22"/>
              </w:rPr>
              <w:t>SDoH</w:t>
            </w:r>
            <w:proofErr w:type="spellEnd"/>
            <w:r w:rsidRPr="00401444">
              <w:rPr>
                <w:rFonts w:ascii="Arial" w:eastAsia="Calibri" w:hAnsi="Arial" w:cs="Arial"/>
                <w:sz w:val="22"/>
                <w:szCs w:val="22"/>
              </w:rPr>
              <w:t xml:space="preserve"> and health inequities. </w:t>
            </w:r>
          </w:p>
          <w:p w:rsidR="004E13E1" w:rsidRPr="00401444" w:rsidRDefault="004E13E1" w:rsidP="004E13E1">
            <w:pPr>
              <w:jc w:val="both"/>
              <w:rPr>
                <w:rFonts w:ascii="Arial" w:eastAsia="Calibri" w:hAnsi="Arial" w:cs="Arial"/>
                <w:b/>
                <w:sz w:val="22"/>
                <w:szCs w:val="22"/>
              </w:rPr>
            </w:pPr>
          </w:p>
          <w:p w:rsidR="004E13E1" w:rsidRPr="00401444" w:rsidRDefault="004E13E1" w:rsidP="004E13E1">
            <w:pPr>
              <w:jc w:val="both"/>
              <w:rPr>
                <w:rFonts w:ascii="Arial" w:eastAsia="Calibri" w:hAnsi="Arial" w:cs="Arial"/>
                <w:b/>
                <w:sz w:val="22"/>
                <w:szCs w:val="22"/>
              </w:rPr>
            </w:pPr>
            <w:r w:rsidRPr="00401444">
              <w:rPr>
                <w:rFonts w:ascii="Arial" w:eastAsia="Calibri" w:hAnsi="Arial" w:cs="Arial"/>
                <w:b/>
                <w:sz w:val="22"/>
                <w:szCs w:val="22"/>
              </w:rPr>
              <w:t>Methods</w:t>
            </w:r>
          </w:p>
          <w:p w:rsidR="004E13E1" w:rsidRPr="00401444" w:rsidRDefault="004E13E1" w:rsidP="004E13E1">
            <w:pPr>
              <w:jc w:val="both"/>
              <w:rPr>
                <w:rFonts w:ascii="Arial" w:eastAsia="Calibri" w:hAnsi="Arial" w:cs="Arial"/>
                <w:sz w:val="22"/>
                <w:szCs w:val="22"/>
              </w:rPr>
            </w:pPr>
            <w:r w:rsidRPr="00401444">
              <w:rPr>
                <w:rFonts w:ascii="Arial" w:eastAsia="Calibri" w:hAnsi="Arial" w:cs="Arial"/>
                <w:sz w:val="22"/>
                <w:szCs w:val="22"/>
              </w:rPr>
              <w:t xml:space="preserve">This study used a realist qualitative design. </w:t>
            </w:r>
            <w:r>
              <w:rPr>
                <w:rFonts w:ascii="Arial" w:eastAsia="Calibri" w:hAnsi="Arial" w:cs="Arial"/>
                <w:sz w:val="22"/>
                <w:szCs w:val="22"/>
              </w:rPr>
              <w:t>A m</w:t>
            </w:r>
            <w:r w:rsidRPr="00401444">
              <w:rPr>
                <w:rFonts w:ascii="Arial" w:eastAsia="Calibri" w:hAnsi="Arial" w:cs="Arial"/>
                <w:sz w:val="22"/>
                <w:szCs w:val="22"/>
              </w:rPr>
              <w:t xml:space="preserve">aximum variation purposive sampling technique was used to select 20 health promoters comprising of policy makers, district directors of health services, health promotion practitioners and academics/researchers across six of the ten administrative regions in Ghana. Semi-structured interviews were conducted with the participants. </w:t>
            </w:r>
          </w:p>
          <w:p w:rsidR="004E13E1" w:rsidRPr="00401444" w:rsidRDefault="004E13E1" w:rsidP="004E13E1">
            <w:pPr>
              <w:jc w:val="both"/>
              <w:rPr>
                <w:rFonts w:ascii="Arial" w:eastAsia="SimSun" w:hAnsi="Arial" w:cs="Arial"/>
                <w:sz w:val="22"/>
                <w:szCs w:val="22"/>
              </w:rPr>
            </w:pPr>
          </w:p>
          <w:p w:rsidR="004E13E1" w:rsidRPr="00401444" w:rsidRDefault="004E13E1" w:rsidP="004E13E1">
            <w:pPr>
              <w:jc w:val="both"/>
              <w:rPr>
                <w:rFonts w:ascii="Arial" w:hAnsi="Arial" w:cs="Arial"/>
                <w:b/>
                <w:sz w:val="22"/>
                <w:szCs w:val="22"/>
              </w:rPr>
            </w:pPr>
            <w:r w:rsidRPr="00401444">
              <w:rPr>
                <w:rFonts w:ascii="Arial" w:hAnsi="Arial" w:cs="Arial"/>
                <w:b/>
                <w:sz w:val="22"/>
                <w:szCs w:val="22"/>
              </w:rPr>
              <w:t xml:space="preserve">Results </w:t>
            </w:r>
          </w:p>
          <w:p w:rsidR="004E13E1" w:rsidRDefault="004E13E1" w:rsidP="004E13E1">
            <w:pPr>
              <w:jc w:val="both"/>
              <w:rPr>
                <w:rFonts w:ascii="Arial" w:eastAsia="Calibri" w:hAnsi="Arial" w:cs="Arial"/>
                <w:sz w:val="22"/>
                <w:szCs w:val="22"/>
              </w:rPr>
            </w:pPr>
            <w:r w:rsidRPr="00401444">
              <w:rPr>
                <w:rFonts w:ascii="Arial" w:eastAsia="Calibri" w:hAnsi="Arial" w:cs="Arial"/>
                <w:sz w:val="22"/>
                <w:szCs w:val="22"/>
              </w:rPr>
              <w:t xml:space="preserve">The results indicate that nearly all the participants were aware of the CT program in Ghana and had a fair knowledge of its potential linkages to the </w:t>
            </w:r>
            <w:proofErr w:type="spellStart"/>
            <w:r w:rsidRPr="00401444">
              <w:rPr>
                <w:rFonts w:ascii="Arial" w:eastAsia="Calibri" w:hAnsi="Arial" w:cs="Arial"/>
                <w:sz w:val="22"/>
                <w:szCs w:val="22"/>
              </w:rPr>
              <w:t>SDoH</w:t>
            </w:r>
            <w:proofErr w:type="spellEnd"/>
            <w:r>
              <w:rPr>
                <w:rFonts w:ascii="Arial" w:eastAsia="Calibri" w:hAnsi="Arial" w:cs="Arial"/>
                <w:sz w:val="22"/>
                <w:szCs w:val="22"/>
              </w:rPr>
              <w:t>,</w:t>
            </w:r>
            <w:r w:rsidRPr="00401444">
              <w:rPr>
                <w:rFonts w:ascii="Arial" w:eastAsia="Calibri" w:hAnsi="Arial" w:cs="Arial"/>
                <w:sz w:val="22"/>
                <w:szCs w:val="22"/>
              </w:rPr>
              <w:t xml:space="preserve"> but th</w:t>
            </w:r>
            <w:r>
              <w:rPr>
                <w:rFonts w:ascii="Arial" w:eastAsia="Calibri" w:hAnsi="Arial" w:cs="Arial"/>
                <w:sz w:val="22"/>
                <w:szCs w:val="22"/>
              </w:rPr>
              <w:t>is</w:t>
            </w:r>
            <w:r w:rsidRPr="00401444">
              <w:rPr>
                <w:rFonts w:ascii="Arial" w:eastAsia="Calibri" w:hAnsi="Arial" w:cs="Arial"/>
                <w:sz w:val="22"/>
                <w:szCs w:val="22"/>
              </w:rPr>
              <w:t xml:space="preserve"> did not translate into their engagement with the program at the design, implementation or evaluation stages. Seven core themes </w:t>
            </w:r>
            <w:r>
              <w:rPr>
                <w:rFonts w:ascii="Arial" w:eastAsia="Calibri" w:hAnsi="Arial" w:cs="Arial"/>
                <w:sz w:val="22"/>
                <w:szCs w:val="22"/>
              </w:rPr>
              <w:t xml:space="preserve">emerged from the interviews with </w:t>
            </w:r>
            <w:r w:rsidRPr="00401444">
              <w:rPr>
                <w:rFonts w:ascii="Arial" w:eastAsia="Calibri" w:hAnsi="Arial" w:cs="Arial"/>
                <w:sz w:val="22"/>
                <w:szCs w:val="22"/>
              </w:rPr>
              <w:t>participants: the politic</w:t>
            </w:r>
            <w:r>
              <w:rPr>
                <w:rFonts w:ascii="Arial" w:eastAsia="Calibri" w:hAnsi="Arial" w:cs="Arial"/>
                <w:sz w:val="22"/>
                <w:szCs w:val="22"/>
              </w:rPr>
              <w:t>ised</w:t>
            </w:r>
            <w:r w:rsidRPr="00401444">
              <w:rPr>
                <w:rFonts w:ascii="Arial" w:eastAsia="Calibri" w:hAnsi="Arial" w:cs="Arial"/>
                <w:sz w:val="22"/>
                <w:szCs w:val="22"/>
              </w:rPr>
              <w:t xml:space="preserve"> nature of CTs, limited understanding of </w:t>
            </w:r>
            <w:proofErr w:type="spellStart"/>
            <w:r w:rsidRPr="00401444">
              <w:rPr>
                <w:rFonts w:ascii="Arial" w:eastAsia="Calibri" w:hAnsi="Arial" w:cs="Arial"/>
                <w:sz w:val="22"/>
                <w:szCs w:val="22"/>
              </w:rPr>
              <w:t>SDoH</w:t>
            </w:r>
            <w:proofErr w:type="spellEnd"/>
            <w:r w:rsidRPr="00401444">
              <w:rPr>
                <w:rFonts w:ascii="Arial" w:eastAsia="Calibri" w:hAnsi="Arial" w:cs="Arial"/>
                <w:sz w:val="22"/>
                <w:szCs w:val="22"/>
              </w:rPr>
              <w:t xml:space="preserve"> concept, lack of </w:t>
            </w:r>
            <w:proofErr w:type="spellStart"/>
            <w:r w:rsidRPr="00401444">
              <w:rPr>
                <w:rFonts w:ascii="Arial" w:eastAsia="Calibri" w:hAnsi="Arial" w:cs="Arial"/>
                <w:sz w:val="22"/>
                <w:szCs w:val="22"/>
              </w:rPr>
              <w:t>intersectoral</w:t>
            </w:r>
            <w:proofErr w:type="spellEnd"/>
            <w:r w:rsidRPr="00401444">
              <w:rPr>
                <w:rFonts w:ascii="Arial" w:eastAsia="Calibri" w:hAnsi="Arial" w:cs="Arial"/>
                <w:sz w:val="22"/>
                <w:szCs w:val="22"/>
              </w:rPr>
              <w:t xml:space="preserve"> collaboration and partnership working, non-exposure to the scientific evidence around CTs impact on </w:t>
            </w:r>
            <w:proofErr w:type="spellStart"/>
            <w:r w:rsidRPr="00401444">
              <w:rPr>
                <w:rFonts w:ascii="Arial" w:eastAsia="Calibri" w:hAnsi="Arial" w:cs="Arial"/>
                <w:sz w:val="22"/>
                <w:szCs w:val="22"/>
              </w:rPr>
              <w:t>SDoH</w:t>
            </w:r>
            <w:proofErr w:type="spellEnd"/>
            <w:r w:rsidRPr="00401444">
              <w:rPr>
                <w:rFonts w:ascii="Arial" w:eastAsia="Calibri" w:hAnsi="Arial" w:cs="Arial"/>
                <w:sz w:val="22"/>
                <w:szCs w:val="22"/>
              </w:rPr>
              <w:t xml:space="preserve"> and health inequities, fear of territorial conflict, recognition of the health sector as a key partner of CTs, and assignment of clearly defined roles to the health sector in CTs. We found that limited engagement with the health sector at the CT policy formulation and design stages act as macro level barrier to health promoters’ involvement in CTs implementation and evaluation. </w:t>
            </w:r>
          </w:p>
          <w:p w:rsidR="004E13E1" w:rsidRDefault="004E13E1" w:rsidP="004E13E1">
            <w:pPr>
              <w:jc w:val="both"/>
              <w:rPr>
                <w:rFonts w:ascii="Arial" w:eastAsia="Calibri" w:hAnsi="Arial" w:cs="Arial"/>
                <w:sz w:val="22"/>
                <w:szCs w:val="22"/>
              </w:rPr>
            </w:pPr>
          </w:p>
          <w:p w:rsidR="004E13E1" w:rsidRPr="00B4515F" w:rsidRDefault="004E13E1" w:rsidP="004E13E1">
            <w:pPr>
              <w:jc w:val="both"/>
              <w:rPr>
                <w:rFonts w:ascii="Arial" w:eastAsia="Calibri" w:hAnsi="Arial" w:cs="Arial"/>
                <w:b/>
                <w:bCs/>
                <w:sz w:val="22"/>
                <w:szCs w:val="22"/>
              </w:rPr>
            </w:pPr>
            <w:r w:rsidRPr="00B4515F">
              <w:rPr>
                <w:rFonts w:ascii="Arial" w:eastAsia="Calibri" w:hAnsi="Arial" w:cs="Arial"/>
                <w:b/>
                <w:bCs/>
              </w:rPr>
              <w:t>Discussion</w:t>
            </w:r>
          </w:p>
          <w:p w:rsidR="002238CC" w:rsidRDefault="004E13E1" w:rsidP="004E13E1">
            <w:pPr>
              <w:jc w:val="both"/>
              <w:rPr>
                <w:rFonts w:ascii="Arial" w:eastAsia="Calibri" w:hAnsi="Arial" w:cs="Arial"/>
                <w:sz w:val="22"/>
                <w:szCs w:val="22"/>
              </w:rPr>
            </w:pPr>
            <w:r>
              <w:rPr>
                <w:rFonts w:ascii="Arial" w:eastAsia="Calibri" w:hAnsi="Arial" w:cs="Arial"/>
                <w:sz w:val="22"/>
                <w:szCs w:val="22"/>
              </w:rPr>
              <w:t>I</w:t>
            </w:r>
            <w:r w:rsidRPr="00401444">
              <w:rPr>
                <w:rFonts w:ascii="Arial" w:eastAsia="Calibri" w:hAnsi="Arial" w:cs="Arial"/>
                <w:sz w:val="22"/>
                <w:szCs w:val="22"/>
              </w:rPr>
              <w:t>nvolvement of health promoters in CTs can contribute to better program design, targeting and implementation, evaluation with a health equity lens, and realisation of health sector objectives. The dynamics of the policy process and health promoters’ capacity, skills and knowledge to build their legitimacy to engage in policies and programs which sit outside of the health secto</w:t>
            </w:r>
            <w:r>
              <w:rPr>
                <w:rFonts w:ascii="Arial" w:eastAsia="Calibri" w:hAnsi="Arial" w:cs="Arial"/>
                <w:sz w:val="22"/>
                <w:szCs w:val="22"/>
              </w:rPr>
              <w:t>r,</w:t>
            </w:r>
            <w:r w:rsidRPr="00401444">
              <w:rPr>
                <w:rFonts w:ascii="Arial" w:eastAsia="Calibri" w:hAnsi="Arial" w:cs="Arial"/>
                <w:sz w:val="22"/>
                <w:szCs w:val="22"/>
              </w:rPr>
              <w:t xml:space="preserve"> provide a further challenge </w:t>
            </w:r>
            <w:r>
              <w:rPr>
                <w:rFonts w:ascii="Arial" w:eastAsia="Calibri" w:hAnsi="Arial" w:cs="Arial"/>
                <w:sz w:val="22"/>
                <w:szCs w:val="22"/>
              </w:rPr>
              <w:t xml:space="preserve">to </w:t>
            </w:r>
            <w:r w:rsidRPr="00401444">
              <w:rPr>
                <w:rFonts w:ascii="Arial" w:eastAsia="Calibri" w:hAnsi="Arial" w:cs="Arial"/>
                <w:sz w:val="22"/>
                <w:szCs w:val="22"/>
              </w:rPr>
              <w:t>optimis</w:t>
            </w:r>
            <w:r>
              <w:rPr>
                <w:rFonts w:ascii="Arial" w:eastAsia="Calibri" w:hAnsi="Arial" w:cs="Arial"/>
                <w:sz w:val="22"/>
                <w:szCs w:val="22"/>
              </w:rPr>
              <w:t>ing</w:t>
            </w:r>
            <w:r w:rsidRPr="00401444">
              <w:rPr>
                <w:rFonts w:ascii="Arial" w:eastAsia="Calibri" w:hAnsi="Arial" w:cs="Arial"/>
                <w:sz w:val="22"/>
                <w:szCs w:val="22"/>
              </w:rPr>
              <w:t xml:space="preserve"> CTs impact upon the </w:t>
            </w:r>
            <w:proofErr w:type="spellStart"/>
            <w:r w:rsidRPr="00401444">
              <w:rPr>
                <w:rFonts w:ascii="Arial" w:eastAsia="Calibri" w:hAnsi="Arial" w:cs="Arial"/>
                <w:sz w:val="22"/>
                <w:szCs w:val="22"/>
              </w:rPr>
              <w:t>SDoH</w:t>
            </w:r>
            <w:proofErr w:type="spellEnd"/>
            <w:r w:rsidRPr="00401444">
              <w:rPr>
                <w:rFonts w:ascii="Arial" w:eastAsia="Calibri" w:hAnsi="Arial" w:cs="Arial"/>
                <w:sz w:val="22"/>
                <w:szCs w:val="22"/>
              </w:rPr>
              <w:t xml:space="preserve"> and health equity.  </w:t>
            </w:r>
          </w:p>
          <w:p w:rsidR="004E13E1" w:rsidRPr="001C54B5" w:rsidRDefault="004E13E1" w:rsidP="004E13E1">
            <w:pPr>
              <w:jc w:val="both"/>
              <w:rPr>
                <w:rFonts w:ascii="Arial" w:hAnsi="Arial" w:cs="Arial"/>
                <w:b/>
                <w:sz w:val="22"/>
                <w:szCs w:val="22"/>
              </w:rPr>
            </w:pPr>
          </w:p>
          <w:p w:rsidR="00CD2239" w:rsidRPr="001C54B5" w:rsidRDefault="00CD2239" w:rsidP="001C54B5">
            <w:pPr>
              <w:jc w:val="both"/>
              <w:rPr>
                <w:rFonts w:ascii="Arial" w:hAnsi="Arial" w:cs="Arial"/>
                <w:b/>
                <w:sz w:val="22"/>
                <w:szCs w:val="22"/>
              </w:rPr>
            </w:pPr>
            <w:r w:rsidRPr="001C54B5">
              <w:rPr>
                <w:rFonts w:ascii="Arial" w:hAnsi="Arial" w:cs="Arial"/>
                <w:b/>
                <w:sz w:val="22"/>
                <w:szCs w:val="22"/>
              </w:rPr>
              <w:t>Keywords</w:t>
            </w:r>
          </w:p>
          <w:p w:rsidR="004A7606" w:rsidRDefault="009508A6" w:rsidP="001C54B5">
            <w:pPr>
              <w:jc w:val="both"/>
              <w:rPr>
                <w:rFonts w:ascii="Arial" w:hAnsi="Arial" w:cs="Arial"/>
                <w:b/>
                <w:sz w:val="22"/>
                <w:szCs w:val="22"/>
              </w:rPr>
            </w:pPr>
            <w:r w:rsidRPr="001C54B5">
              <w:rPr>
                <w:rFonts w:ascii="Arial" w:hAnsi="Arial" w:cs="Arial"/>
                <w:sz w:val="22"/>
                <w:szCs w:val="22"/>
              </w:rPr>
              <w:t>Cash transfers</w:t>
            </w:r>
            <w:r w:rsidR="00CD2239" w:rsidRPr="001C54B5">
              <w:rPr>
                <w:rFonts w:ascii="Arial" w:hAnsi="Arial" w:cs="Arial"/>
                <w:sz w:val="22"/>
                <w:szCs w:val="22"/>
              </w:rPr>
              <w:t xml:space="preserve">, </w:t>
            </w:r>
            <w:r w:rsidR="005372D8">
              <w:rPr>
                <w:rFonts w:ascii="Arial" w:hAnsi="Arial" w:cs="Arial"/>
                <w:sz w:val="22"/>
                <w:szCs w:val="22"/>
              </w:rPr>
              <w:t xml:space="preserve">health inequities, </w:t>
            </w:r>
            <w:r w:rsidR="00A52562">
              <w:rPr>
                <w:rFonts w:ascii="Arial" w:hAnsi="Arial" w:cs="Arial"/>
                <w:sz w:val="22"/>
                <w:szCs w:val="22"/>
              </w:rPr>
              <w:t>health sector involvement,</w:t>
            </w:r>
            <w:r w:rsidR="003F7A4C">
              <w:rPr>
                <w:rFonts w:ascii="Arial" w:hAnsi="Arial" w:cs="Arial"/>
                <w:sz w:val="22"/>
                <w:szCs w:val="22"/>
              </w:rPr>
              <w:t xml:space="preserve"> </w:t>
            </w:r>
            <w:r w:rsidR="00F1346C">
              <w:rPr>
                <w:rFonts w:ascii="Arial" w:hAnsi="Arial" w:cs="Arial"/>
                <w:sz w:val="22"/>
                <w:szCs w:val="22"/>
              </w:rPr>
              <w:t>policy process</w:t>
            </w:r>
            <w:r w:rsidRPr="001C54B5">
              <w:rPr>
                <w:rFonts w:ascii="Arial" w:hAnsi="Arial" w:cs="Arial"/>
                <w:sz w:val="22"/>
                <w:szCs w:val="22"/>
              </w:rPr>
              <w:t xml:space="preserve">, social determinants of </w:t>
            </w:r>
            <w:r w:rsidR="002779F8">
              <w:rPr>
                <w:rFonts w:ascii="Arial" w:eastAsia="SimSun" w:hAnsi="Arial" w:cs="Arial"/>
                <w:sz w:val="22"/>
                <w:szCs w:val="22"/>
              </w:rPr>
              <w:t>heal</w:t>
            </w:r>
            <w:r w:rsidR="004E60FF">
              <w:rPr>
                <w:rFonts w:ascii="Arial" w:eastAsia="SimSun" w:hAnsi="Arial" w:cs="Arial"/>
                <w:sz w:val="22"/>
                <w:szCs w:val="22"/>
              </w:rPr>
              <w:t>th</w:t>
            </w:r>
          </w:p>
          <w:p w:rsidR="00CD2239" w:rsidRPr="004A7606" w:rsidRDefault="00CD2239" w:rsidP="004A7606">
            <w:pPr>
              <w:rPr>
                <w:rFonts w:ascii="Arial" w:hAnsi="Arial" w:cs="Arial"/>
                <w:sz w:val="22"/>
                <w:szCs w:val="22"/>
              </w:rPr>
            </w:pPr>
          </w:p>
        </w:tc>
      </w:tr>
    </w:tbl>
    <w:p w:rsidR="00CD2239" w:rsidRPr="001C54B5" w:rsidRDefault="00CD2239" w:rsidP="001C54B5">
      <w:pPr>
        <w:spacing w:after="0" w:line="240" w:lineRule="auto"/>
        <w:jc w:val="both"/>
        <w:rPr>
          <w:rFonts w:ascii="Arial" w:eastAsia="Times New Roman" w:hAnsi="Arial" w:cs="Arial"/>
          <w:lang w:eastAsia="en-GB"/>
        </w:rPr>
      </w:pPr>
    </w:p>
    <w:p w:rsidR="0005523F" w:rsidRPr="001C54B5" w:rsidRDefault="0005523F" w:rsidP="001C54B5">
      <w:pPr>
        <w:spacing w:line="240" w:lineRule="auto"/>
        <w:jc w:val="both"/>
        <w:rPr>
          <w:rFonts w:ascii="Arial" w:hAnsi="Arial" w:cs="Arial"/>
          <w:lang w:eastAsia="en-GB"/>
        </w:rPr>
      </w:pPr>
    </w:p>
    <w:p w:rsidR="002E46CD" w:rsidRPr="001C54B5" w:rsidRDefault="002E46CD" w:rsidP="001C54B5">
      <w:pPr>
        <w:spacing w:line="240" w:lineRule="auto"/>
        <w:rPr>
          <w:rFonts w:ascii="Arial" w:hAnsi="Arial" w:cs="Arial"/>
        </w:rPr>
      </w:pPr>
    </w:p>
    <w:sectPr w:rsidR="002E46CD" w:rsidRPr="001C5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Itali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36DFF"/>
    <w:multiLevelType w:val="hybridMultilevel"/>
    <w:tmpl w:val="3846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CD"/>
    <w:rsid w:val="0002351C"/>
    <w:rsid w:val="000342DC"/>
    <w:rsid w:val="00051B50"/>
    <w:rsid w:val="0005523F"/>
    <w:rsid w:val="000B6F9A"/>
    <w:rsid w:val="000D3111"/>
    <w:rsid w:val="000D5F5D"/>
    <w:rsid w:val="000E7D8E"/>
    <w:rsid w:val="001310C9"/>
    <w:rsid w:val="00134A1A"/>
    <w:rsid w:val="00134BC7"/>
    <w:rsid w:val="0013602F"/>
    <w:rsid w:val="001415B6"/>
    <w:rsid w:val="00157BBD"/>
    <w:rsid w:val="00182823"/>
    <w:rsid w:val="00192A3A"/>
    <w:rsid w:val="001A288F"/>
    <w:rsid w:val="001C54B5"/>
    <w:rsid w:val="001D7AA0"/>
    <w:rsid w:val="00207ECC"/>
    <w:rsid w:val="002238CC"/>
    <w:rsid w:val="00235342"/>
    <w:rsid w:val="00246277"/>
    <w:rsid w:val="002779F8"/>
    <w:rsid w:val="002A21A0"/>
    <w:rsid w:val="002E46CD"/>
    <w:rsid w:val="002E6D8F"/>
    <w:rsid w:val="002F48F2"/>
    <w:rsid w:val="00342B93"/>
    <w:rsid w:val="00357E68"/>
    <w:rsid w:val="00377C9B"/>
    <w:rsid w:val="003A4714"/>
    <w:rsid w:val="003B08D7"/>
    <w:rsid w:val="003D54C0"/>
    <w:rsid w:val="003D7E30"/>
    <w:rsid w:val="003F488A"/>
    <w:rsid w:val="003F7A4C"/>
    <w:rsid w:val="00401BA0"/>
    <w:rsid w:val="004035E6"/>
    <w:rsid w:val="004110B0"/>
    <w:rsid w:val="004509EB"/>
    <w:rsid w:val="00491920"/>
    <w:rsid w:val="00492ADC"/>
    <w:rsid w:val="004A7606"/>
    <w:rsid w:val="004B009B"/>
    <w:rsid w:val="004D3443"/>
    <w:rsid w:val="004D4939"/>
    <w:rsid w:val="004E13E1"/>
    <w:rsid w:val="004E60FF"/>
    <w:rsid w:val="004F669B"/>
    <w:rsid w:val="005049FC"/>
    <w:rsid w:val="00530BAF"/>
    <w:rsid w:val="005372D8"/>
    <w:rsid w:val="005911AE"/>
    <w:rsid w:val="005A6871"/>
    <w:rsid w:val="005F3E52"/>
    <w:rsid w:val="005F6D64"/>
    <w:rsid w:val="006166D8"/>
    <w:rsid w:val="00620599"/>
    <w:rsid w:val="00655194"/>
    <w:rsid w:val="006760E6"/>
    <w:rsid w:val="0068372D"/>
    <w:rsid w:val="00687AA9"/>
    <w:rsid w:val="006E236F"/>
    <w:rsid w:val="00712D23"/>
    <w:rsid w:val="00720587"/>
    <w:rsid w:val="00730F6F"/>
    <w:rsid w:val="00741B7C"/>
    <w:rsid w:val="007476C3"/>
    <w:rsid w:val="00760338"/>
    <w:rsid w:val="0076174B"/>
    <w:rsid w:val="00773B1F"/>
    <w:rsid w:val="007A29CC"/>
    <w:rsid w:val="007C12EF"/>
    <w:rsid w:val="007E20B0"/>
    <w:rsid w:val="00821AE4"/>
    <w:rsid w:val="00836459"/>
    <w:rsid w:val="00847210"/>
    <w:rsid w:val="00850D64"/>
    <w:rsid w:val="00852778"/>
    <w:rsid w:val="008A2CE0"/>
    <w:rsid w:val="008B439F"/>
    <w:rsid w:val="008D071D"/>
    <w:rsid w:val="008E50FD"/>
    <w:rsid w:val="0090574B"/>
    <w:rsid w:val="00941059"/>
    <w:rsid w:val="009508A6"/>
    <w:rsid w:val="00997A36"/>
    <w:rsid w:val="009C6359"/>
    <w:rsid w:val="009D7215"/>
    <w:rsid w:val="009D76D5"/>
    <w:rsid w:val="00A25518"/>
    <w:rsid w:val="00A33648"/>
    <w:rsid w:val="00A52562"/>
    <w:rsid w:val="00A574D3"/>
    <w:rsid w:val="00A73A28"/>
    <w:rsid w:val="00AE1C31"/>
    <w:rsid w:val="00AE33CE"/>
    <w:rsid w:val="00B25F91"/>
    <w:rsid w:val="00B670D0"/>
    <w:rsid w:val="00B86433"/>
    <w:rsid w:val="00BB52F2"/>
    <w:rsid w:val="00BC2985"/>
    <w:rsid w:val="00BD1E1A"/>
    <w:rsid w:val="00C170D3"/>
    <w:rsid w:val="00C207C7"/>
    <w:rsid w:val="00C37B1C"/>
    <w:rsid w:val="00C76092"/>
    <w:rsid w:val="00C77DFE"/>
    <w:rsid w:val="00C80177"/>
    <w:rsid w:val="00C83D71"/>
    <w:rsid w:val="00C85DA3"/>
    <w:rsid w:val="00CD1A83"/>
    <w:rsid w:val="00CD2239"/>
    <w:rsid w:val="00CD56AE"/>
    <w:rsid w:val="00CE2CED"/>
    <w:rsid w:val="00CE3EAF"/>
    <w:rsid w:val="00D539A1"/>
    <w:rsid w:val="00D66C08"/>
    <w:rsid w:val="00D92FBB"/>
    <w:rsid w:val="00E113C0"/>
    <w:rsid w:val="00E14832"/>
    <w:rsid w:val="00E36D6B"/>
    <w:rsid w:val="00E47A10"/>
    <w:rsid w:val="00E61454"/>
    <w:rsid w:val="00E70500"/>
    <w:rsid w:val="00E859D6"/>
    <w:rsid w:val="00EA73B7"/>
    <w:rsid w:val="00EC29FB"/>
    <w:rsid w:val="00F13431"/>
    <w:rsid w:val="00F1346C"/>
    <w:rsid w:val="00F331A0"/>
    <w:rsid w:val="00F84063"/>
    <w:rsid w:val="00FA2FBD"/>
    <w:rsid w:val="00FC0316"/>
    <w:rsid w:val="00FF2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13A7"/>
  <w15:chartTrackingRefBased/>
  <w15:docId w15:val="{9C33F15D-80CE-4A87-8C92-B6B654AB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CD"/>
    <w:pPr>
      <w:pBdr>
        <w:top w:val="nil"/>
        <w:left w:val="nil"/>
        <w:bottom w:val="nil"/>
        <w:right w:val="nil"/>
        <w:between w:val="nil"/>
      </w:pBdr>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2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eastAsia="zh-CN"/>
    </w:rPr>
  </w:style>
  <w:style w:type="table" w:styleId="TableGrid">
    <w:name w:val="Table Grid"/>
    <w:basedOn w:val="TableNormal"/>
    <w:rsid w:val="00CD2239"/>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E52"/>
    <w:rPr>
      <w:sz w:val="16"/>
      <w:szCs w:val="16"/>
    </w:rPr>
  </w:style>
  <w:style w:type="paragraph" w:styleId="CommentText">
    <w:name w:val="annotation text"/>
    <w:basedOn w:val="Normal"/>
    <w:link w:val="CommentTextChar"/>
    <w:uiPriority w:val="99"/>
    <w:semiHidden/>
    <w:unhideWhenUsed/>
    <w:rsid w:val="005F3E5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eastAsia="zh-CN"/>
    </w:rPr>
  </w:style>
  <w:style w:type="character" w:customStyle="1" w:styleId="CommentTextChar">
    <w:name w:val="Comment Text Char"/>
    <w:basedOn w:val="DefaultParagraphFont"/>
    <w:link w:val="CommentText"/>
    <w:uiPriority w:val="99"/>
    <w:semiHidden/>
    <w:rsid w:val="005F3E52"/>
    <w:rPr>
      <w:rFonts w:eastAsiaTheme="minorEastAsia"/>
      <w:sz w:val="20"/>
      <w:szCs w:val="20"/>
      <w:lang w:eastAsia="zh-CN"/>
    </w:rPr>
  </w:style>
  <w:style w:type="paragraph" w:styleId="BalloonText">
    <w:name w:val="Balloon Text"/>
    <w:basedOn w:val="Normal"/>
    <w:link w:val="BalloonTextChar"/>
    <w:uiPriority w:val="99"/>
    <w:semiHidden/>
    <w:unhideWhenUsed/>
    <w:rsid w:val="005F3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5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Owusu-Addo</dc:creator>
  <cp:keywords/>
  <dc:description/>
  <cp:lastModifiedBy>Ebenezer Owusu-Addo</cp:lastModifiedBy>
  <cp:revision>45</cp:revision>
  <dcterms:created xsi:type="dcterms:W3CDTF">2018-08-27T14:23:00Z</dcterms:created>
  <dcterms:modified xsi:type="dcterms:W3CDTF">2018-08-28T05:43:00Z</dcterms:modified>
</cp:coreProperties>
</file>