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2177" w14:textId="730FAB16" w:rsidR="0004737C" w:rsidRPr="0029433A" w:rsidRDefault="0004737C" w:rsidP="0004737C">
      <w:pPr>
        <w:rPr>
          <w:rFonts w:ascii="Arial" w:hAnsi="Arial" w:cs="Arial"/>
          <w:b/>
          <w:bCs/>
        </w:rPr>
      </w:pPr>
      <w:r w:rsidRPr="0029433A">
        <w:rPr>
          <w:rFonts w:ascii="Arial" w:hAnsi="Arial" w:cs="Arial"/>
          <w:b/>
          <w:bCs/>
        </w:rPr>
        <w:t>Glycaemic and cardiometabolic outcomes in youth with diabetes in New Zealand primary care</w:t>
      </w:r>
    </w:p>
    <w:p w14:paraId="443DBE98" w14:textId="77777777" w:rsidR="0004737C" w:rsidRDefault="0004737C" w:rsidP="0004737C">
      <w:pPr>
        <w:rPr>
          <w:rFonts w:ascii="Arial" w:hAnsi="Arial" w:cs="Arial"/>
        </w:rPr>
      </w:pPr>
    </w:p>
    <w:p w14:paraId="3BD77A7D" w14:textId="3639DCFF" w:rsidR="0004737C" w:rsidRDefault="005C202A" w:rsidP="0004737C">
      <w:pPr>
        <w:rPr>
          <w:rFonts w:ascii="Arial" w:hAnsi="Arial" w:cs="Arial"/>
        </w:rPr>
      </w:pPr>
      <w:r w:rsidRPr="005C202A">
        <w:rPr>
          <w:rFonts w:ascii="Arial" w:hAnsi="Arial" w:cs="Arial"/>
        </w:rPr>
        <w:t xml:space="preserve">Aim: </w:t>
      </w:r>
      <w:r w:rsidR="0004737C" w:rsidRPr="0004737C">
        <w:rPr>
          <w:rFonts w:ascii="Arial" w:hAnsi="Arial" w:cs="Arial"/>
        </w:rPr>
        <w:t xml:space="preserve">To describe the glycaemic control and cardiometabolic outcomes among individuals under 25 years with type 1 </w:t>
      </w:r>
      <w:r w:rsidR="0004737C">
        <w:rPr>
          <w:rFonts w:ascii="Arial" w:hAnsi="Arial" w:cs="Arial"/>
        </w:rPr>
        <w:t xml:space="preserve">(T1D) </w:t>
      </w:r>
      <w:r w:rsidR="0004737C" w:rsidRPr="0004737C">
        <w:rPr>
          <w:rFonts w:ascii="Arial" w:hAnsi="Arial" w:cs="Arial"/>
        </w:rPr>
        <w:t xml:space="preserve">and type 2 diabetes </w:t>
      </w:r>
      <w:r w:rsidR="0004737C">
        <w:rPr>
          <w:rFonts w:ascii="Arial" w:hAnsi="Arial" w:cs="Arial"/>
        </w:rPr>
        <w:t xml:space="preserve">(T2D) </w:t>
      </w:r>
      <w:r w:rsidR="0004737C" w:rsidRPr="0004737C">
        <w:rPr>
          <w:rFonts w:ascii="Arial" w:hAnsi="Arial" w:cs="Arial"/>
        </w:rPr>
        <w:t>across two major regions in New Zealand.</w:t>
      </w:r>
    </w:p>
    <w:p w14:paraId="57CF65CF" w14:textId="77777777" w:rsidR="0004737C" w:rsidRPr="005C202A" w:rsidRDefault="0004737C" w:rsidP="0004737C">
      <w:pPr>
        <w:rPr>
          <w:rFonts w:ascii="Arial" w:hAnsi="Arial" w:cs="Arial"/>
        </w:rPr>
      </w:pPr>
    </w:p>
    <w:p w14:paraId="45B446A5" w14:textId="487E4708" w:rsidR="005C202A" w:rsidRPr="005C202A" w:rsidRDefault="005C202A" w:rsidP="005C202A">
      <w:pPr>
        <w:rPr>
          <w:rFonts w:ascii="Arial" w:hAnsi="Arial" w:cs="Arial"/>
        </w:rPr>
      </w:pPr>
      <w:r w:rsidRPr="005C202A">
        <w:rPr>
          <w:rFonts w:ascii="Arial" w:hAnsi="Arial" w:cs="Arial"/>
        </w:rPr>
        <w:t xml:space="preserve">Methods: </w:t>
      </w:r>
      <w:r w:rsidR="0004737C" w:rsidRPr="0004737C">
        <w:rPr>
          <w:rFonts w:ascii="Arial" w:hAnsi="Arial" w:cs="Arial"/>
        </w:rPr>
        <w:t xml:space="preserve">Primary care records between February 2021 and December 2023 were analysed from four Primary Healthcare Organisations located in the Waikato and Auckland regions. A total of 1,198 patients </w:t>
      </w:r>
      <w:r w:rsidR="0004737C">
        <w:rPr>
          <w:rFonts w:ascii="Arial" w:hAnsi="Arial" w:cs="Arial"/>
        </w:rPr>
        <w:t>&lt;</w:t>
      </w:r>
      <w:r w:rsidR="0004737C" w:rsidRPr="0004737C">
        <w:rPr>
          <w:rFonts w:ascii="Arial" w:hAnsi="Arial" w:cs="Arial"/>
        </w:rPr>
        <w:t xml:space="preserve"> 25</w:t>
      </w:r>
      <w:r w:rsidR="0004737C">
        <w:rPr>
          <w:rFonts w:ascii="Arial" w:hAnsi="Arial" w:cs="Arial"/>
        </w:rPr>
        <w:t xml:space="preserve"> years</w:t>
      </w:r>
      <w:r w:rsidR="0004737C" w:rsidRPr="0004737C">
        <w:rPr>
          <w:rFonts w:ascii="Arial" w:hAnsi="Arial" w:cs="Arial"/>
        </w:rPr>
        <w:t xml:space="preserve"> were identified from a larger cohort of 57,743 individuals</w:t>
      </w:r>
      <w:r w:rsidR="0004737C">
        <w:rPr>
          <w:rFonts w:ascii="Arial" w:hAnsi="Arial" w:cs="Arial"/>
        </w:rPr>
        <w:t xml:space="preserve"> </w:t>
      </w:r>
      <w:r w:rsidR="0004737C" w:rsidRPr="0004737C">
        <w:rPr>
          <w:rFonts w:ascii="Arial" w:hAnsi="Arial" w:cs="Arial"/>
        </w:rPr>
        <w:t>(aged 0–75 years)</w:t>
      </w:r>
      <w:r w:rsidR="0004737C">
        <w:rPr>
          <w:rFonts w:ascii="Arial" w:hAnsi="Arial" w:cs="Arial"/>
        </w:rPr>
        <w:t xml:space="preserve">. </w:t>
      </w:r>
      <w:r w:rsidR="0004737C" w:rsidRPr="0004737C">
        <w:rPr>
          <w:rFonts w:ascii="Arial" w:hAnsi="Arial" w:cs="Arial"/>
        </w:rPr>
        <w:t>Sociodemographic characteristics and clinical indicators including HbA1c, blood pressure, lipid profile, urinary albumin-to-creatinine ratio (UACR), and estimated glomerular filtration rate (eGFR) were assessed and stratified by diabetes type, age group, ethnicity, and socioeconomic deprivation.</w:t>
      </w:r>
    </w:p>
    <w:p w14:paraId="30070C32" w14:textId="77777777" w:rsidR="005C202A" w:rsidRPr="005C202A" w:rsidRDefault="005C202A" w:rsidP="005C202A">
      <w:pPr>
        <w:rPr>
          <w:rFonts w:ascii="Arial" w:hAnsi="Arial" w:cs="Arial"/>
        </w:rPr>
      </w:pPr>
    </w:p>
    <w:p w14:paraId="541919B5" w14:textId="158F37AB" w:rsidR="005C202A" w:rsidRDefault="005C202A" w:rsidP="005C202A">
      <w:pPr>
        <w:rPr>
          <w:rFonts w:ascii="Arial" w:hAnsi="Arial" w:cs="Arial"/>
        </w:rPr>
      </w:pPr>
      <w:r w:rsidRPr="005C202A">
        <w:rPr>
          <w:rFonts w:ascii="Arial" w:hAnsi="Arial" w:cs="Arial"/>
        </w:rPr>
        <w:t xml:space="preserve">Results: </w:t>
      </w:r>
      <w:r w:rsidR="0004737C" w:rsidRPr="0004737C">
        <w:rPr>
          <w:rFonts w:ascii="Arial" w:hAnsi="Arial" w:cs="Arial"/>
        </w:rPr>
        <w:t xml:space="preserve">Of the 1,198 youth with diabetes, 863 (72.0%) had T1D and 335 (28.0%) had T2D. </w:t>
      </w:r>
      <w:r w:rsidR="007838D4" w:rsidRPr="007838D4">
        <w:rPr>
          <w:rFonts w:ascii="Arial" w:hAnsi="Arial" w:cs="Arial"/>
        </w:rPr>
        <w:t>In</w:t>
      </w:r>
      <w:r w:rsidR="007838D4">
        <w:rPr>
          <w:rFonts w:ascii="Arial" w:hAnsi="Arial" w:cs="Arial"/>
        </w:rPr>
        <w:t xml:space="preserve"> individuals with</w:t>
      </w:r>
      <w:r w:rsidR="007838D4" w:rsidRPr="007838D4">
        <w:rPr>
          <w:rFonts w:ascii="Arial" w:hAnsi="Arial" w:cs="Arial"/>
        </w:rPr>
        <w:t xml:space="preserve"> T1D, the median HbA1c was 70.0 mmol/mol (IQR: 63.0–91.5), significantly higher among those aged 20–25 years compared to younger age groups (P=0.012). Ethnic disparities were observed, with Pasifika and Māori patients having higher HbA1c levels (85.0 and 80.0 mmol/mol, respectively) than European and Asian patients (67.0 and 62.0 mmol/mol, respectively; P&lt;0.001). HbA1c was also higher among those living in areas of greater socioeconomic deprivation (P=0.006). Only 9.5% of T1D patients achieved target HbA1c levels (≤48 mmol/mol), though over 60% met targets for LDL-C and blood pressure. In T2D, the median HbA1c was 62.5 mmol/mol (IQR: 48.0–88.0), with no differences by age, sex, BMI, or deprivation. Hypertension was common, and males had significantly higher systolic blood pressure than females (P=0.009). Albuminuria was prevalent, with 35.8% showing microalbuminuria and 10.4% macroalbuminuria, more commonly in males (P&lt;0.001).</w:t>
      </w:r>
    </w:p>
    <w:p w14:paraId="45DA133A" w14:textId="77777777" w:rsidR="005C202A" w:rsidRPr="005C202A" w:rsidRDefault="005C202A" w:rsidP="005C202A">
      <w:pPr>
        <w:rPr>
          <w:rFonts w:ascii="Arial" w:hAnsi="Arial" w:cs="Arial"/>
        </w:rPr>
      </w:pPr>
    </w:p>
    <w:p w14:paraId="7BE4AE49" w14:textId="3027650B" w:rsidR="008427FA" w:rsidRPr="005C202A" w:rsidRDefault="005C202A" w:rsidP="005C202A">
      <w:pPr>
        <w:rPr>
          <w:rFonts w:ascii="Arial" w:hAnsi="Arial" w:cs="Arial"/>
        </w:rPr>
      </w:pPr>
      <w:r w:rsidRPr="005C202A">
        <w:rPr>
          <w:rFonts w:ascii="Arial" w:hAnsi="Arial" w:cs="Arial"/>
        </w:rPr>
        <w:t xml:space="preserve">Conclusion: </w:t>
      </w:r>
      <w:r w:rsidR="0004737C" w:rsidRPr="0004737C">
        <w:rPr>
          <w:rFonts w:ascii="Arial" w:hAnsi="Arial" w:cs="Arial"/>
        </w:rPr>
        <w:t>Young people with diabetes experience suboptimal glycaemic control, with marked ethnic and socioeconomic disparities. Findings highlight the need for targeted, equity-focused interventions in primary care.</w:t>
      </w:r>
    </w:p>
    <w:p w14:paraId="0EFF133E" w14:textId="77777777" w:rsidR="008427FA" w:rsidRPr="005C202A" w:rsidRDefault="008427FA" w:rsidP="008427FA">
      <w:pPr>
        <w:rPr>
          <w:rFonts w:ascii="Arial" w:hAnsi="Arial" w:cs="Arial"/>
        </w:rPr>
      </w:pPr>
    </w:p>
    <w:p w14:paraId="6A91FA94" w14:textId="77777777" w:rsidR="008427FA" w:rsidRPr="005C202A" w:rsidRDefault="008427FA" w:rsidP="008427FA">
      <w:pPr>
        <w:rPr>
          <w:rFonts w:ascii="Arial" w:hAnsi="Arial" w:cs="Arial"/>
        </w:rPr>
      </w:pPr>
    </w:p>
    <w:p w14:paraId="7D46DD6C" w14:textId="77777777" w:rsidR="008427FA" w:rsidRPr="005C202A" w:rsidRDefault="008427FA" w:rsidP="008427FA">
      <w:pPr>
        <w:rPr>
          <w:rFonts w:ascii="Arial" w:hAnsi="Arial" w:cs="Arial"/>
        </w:rPr>
      </w:pPr>
    </w:p>
    <w:p w14:paraId="22A97A63" w14:textId="77777777" w:rsidR="008427FA" w:rsidRPr="005C202A" w:rsidRDefault="008427FA" w:rsidP="008427FA">
      <w:pPr>
        <w:rPr>
          <w:rFonts w:ascii="Arial" w:hAnsi="Arial" w:cs="Arial"/>
        </w:rPr>
      </w:pPr>
    </w:p>
    <w:p w14:paraId="5AC8EF12" w14:textId="77777777" w:rsidR="008427FA" w:rsidRPr="005C202A" w:rsidRDefault="008427FA" w:rsidP="008427FA">
      <w:pPr>
        <w:rPr>
          <w:rFonts w:ascii="Arial" w:hAnsi="Arial" w:cs="Arial"/>
        </w:rPr>
      </w:pPr>
    </w:p>
    <w:p w14:paraId="69886DD6" w14:textId="77777777" w:rsidR="008427FA" w:rsidRPr="005C202A" w:rsidRDefault="008427FA" w:rsidP="008427FA">
      <w:pPr>
        <w:rPr>
          <w:rFonts w:ascii="Arial" w:hAnsi="Arial" w:cs="Arial"/>
        </w:rPr>
      </w:pPr>
    </w:p>
    <w:p w14:paraId="31EAA4F4" w14:textId="77777777" w:rsidR="008427FA" w:rsidRPr="005C202A" w:rsidRDefault="008427FA" w:rsidP="008427FA">
      <w:pPr>
        <w:rPr>
          <w:rFonts w:ascii="Arial" w:hAnsi="Arial" w:cs="Arial"/>
        </w:rPr>
      </w:pPr>
    </w:p>
    <w:p w14:paraId="11C6E1EF" w14:textId="77777777" w:rsidR="008427FA" w:rsidRPr="005C202A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8A3F" w14:textId="77777777" w:rsidR="00D77A15" w:rsidRDefault="00D77A15" w:rsidP="00106044">
      <w:r>
        <w:separator/>
      </w:r>
    </w:p>
  </w:endnote>
  <w:endnote w:type="continuationSeparator" w:id="0">
    <w:p w14:paraId="54858CE9" w14:textId="77777777" w:rsidR="00D77A15" w:rsidRDefault="00D77A15" w:rsidP="0010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0347" w14:textId="77777777" w:rsidR="00D77A15" w:rsidRDefault="00D77A15" w:rsidP="00106044">
      <w:r>
        <w:separator/>
      </w:r>
    </w:p>
  </w:footnote>
  <w:footnote w:type="continuationSeparator" w:id="0">
    <w:p w14:paraId="3DBE21F5" w14:textId="77777777" w:rsidR="00D77A15" w:rsidRDefault="00D77A15" w:rsidP="0010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xszQxMTC3MDC3NDFQ0lEKTi0uzszPAykwqgUA0Q2sgCwAAAA="/>
  </w:docVars>
  <w:rsids>
    <w:rsidRoot w:val="008427FA"/>
    <w:rsid w:val="0004737C"/>
    <w:rsid w:val="000E2A7A"/>
    <w:rsid w:val="00106044"/>
    <w:rsid w:val="00183BF4"/>
    <w:rsid w:val="00271F91"/>
    <w:rsid w:val="0028124D"/>
    <w:rsid w:val="0029433A"/>
    <w:rsid w:val="002C7BC8"/>
    <w:rsid w:val="00376B39"/>
    <w:rsid w:val="004E09DD"/>
    <w:rsid w:val="005C202A"/>
    <w:rsid w:val="00633F90"/>
    <w:rsid w:val="007244F0"/>
    <w:rsid w:val="00751AFB"/>
    <w:rsid w:val="007838D4"/>
    <w:rsid w:val="00830A4D"/>
    <w:rsid w:val="008427FA"/>
    <w:rsid w:val="008953CF"/>
    <w:rsid w:val="009A582D"/>
    <w:rsid w:val="009D7204"/>
    <w:rsid w:val="009D79DB"/>
    <w:rsid w:val="00A07033"/>
    <w:rsid w:val="00A85759"/>
    <w:rsid w:val="00BA2969"/>
    <w:rsid w:val="00BC73E4"/>
    <w:rsid w:val="00D01A25"/>
    <w:rsid w:val="00D528E6"/>
    <w:rsid w:val="00D56368"/>
    <w:rsid w:val="00D77A15"/>
    <w:rsid w:val="00DD0D64"/>
    <w:rsid w:val="00E63AD3"/>
    <w:rsid w:val="00E87902"/>
    <w:rsid w:val="00F6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044"/>
  </w:style>
  <w:style w:type="paragraph" w:styleId="Footer">
    <w:name w:val="footer"/>
    <w:basedOn w:val="Normal"/>
    <w:link w:val="FooterChar"/>
    <w:uiPriority w:val="99"/>
    <w:unhideWhenUsed/>
    <w:rsid w:val="001060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6911e96c-4cc4-42d5-8e43-f93924cf6a05"/>
    <ds:schemaRef ds:uri="cab52c9b-ab33-4221-8af9-54f8f2b86a80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90350-486D-49D9-8F4E-6882183B9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2025-05-26T23:01:00Z</dcterms:created>
  <dcterms:modified xsi:type="dcterms:W3CDTF">2025-05-26T23:01:00Z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