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B35D"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Test of a Dual Intervention in Arabic-Speaking Diabetic Patients Attending Melbourne General Practices: A Prospective Cohort Feasibility Study</w:t>
      </w:r>
    </w:p>
    <w:p w14:paraId="7AD2B80B"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Aim</w:t>
      </w:r>
      <w:r w:rsidRPr="00BF26A6">
        <w:rPr>
          <w:rFonts w:ascii="Arial" w:hAnsi="Arial" w:cs="Arial"/>
          <w:sz w:val="22"/>
          <w:szCs w:val="22"/>
        </w:rPr>
        <w:br/>
        <w:t>This paper outlines a prospective cohort feasibility study investigating a dual intervention—home medicines review (HMR) and group diabetes education (GDE)—for Arabic-speaking individuals with type 2 diabetes (T2DM) in Melbourne general practices. The study aims to assess the feasibility, acceptability, and preliminary clinical impact of integrating pharmacist-led medication reviews with culturally tailored diabetes education.</w:t>
      </w:r>
    </w:p>
    <w:p w14:paraId="00EB8638"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Background</w:t>
      </w:r>
      <w:r w:rsidRPr="00BF26A6">
        <w:rPr>
          <w:rFonts w:ascii="Arial" w:hAnsi="Arial" w:cs="Arial"/>
          <w:sz w:val="22"/>
          <w:szCs w:val="22"/>
        </w:rPr>
        <w:br/>
        <w:t>Type 2 diabetes is a significant health burden in Australia, especially among culturally and linguistically diverse communities. The Arabic-speaking population experiences higher rates of T2DM, poorer glycaemic control, lower medication adherence, and higher diabetes-related hospitalisations than the general population. Factors such as delayed healthcare engagement and complex pharmacotherapy exacerbate these challenges. However, there is limited evidence on culturally appropriate, primary care-based strategies that address both medication management and self-management education for this group.</w:t>
      </w:r>
    </w:p>
    <w:p w14:paraId="6688CE82"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Method</w:t>
      </w:r>
      <w:r w:rsidRPr="00BF26A6">
        <w:rPr>
          <w:rFonts w:ascii="Arial" w:hAnsi="Arial" w:cs="Arial"/>
          <w:sz w:val="22"/>
          <w:szCs w:val="22"/>
        </w:rPr>
        <w:br/>
        <w:t>This 12-month study will recruit 100 Arabic-speaking adults with T2DM from general practices in North and West Melbourne. Participants will receive pharmacist-led HMR, including three in-house assessments and written recommendations to referrers, along with culturally tailored GDE delivered over eight structured sessions in small groups. Outcomes include feasibility, acceptability, glycaemic control (HbA1c), medication adherence, medication wastage, unplanned hospitalisation, and patient-reported educational impact. Pre- and post-intervention qualitative interviews will explore patient experiences and barriers to engagement.</w:t>
      </w:r>
    </w:p>
    <w:p w14:paraId="29674BF6"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Results (Anticipated)</w:t>
      </w:r>
      <w:r w:rsidRPr="00BF26A6">
        <w:rPr>
          <w:rFonts w:ascii="Arial" w:hAnsi="Arial" w:cs="Arial"/>
          <w:sz w:val="22"/>
          <w:szCs w:val="22"/>
        </w:rPr>
        <w:br/>
        <w:t>The intervention is expected to be feasible and acceptable within general practice settings, with anticipated improvements in glycaemic control, medication use, and self-management engagement. Qualitative data will likely identify cultural, linguistic, and system-level factors influencing participation and sustainability.</w:t>
      </w:r>
    </w:p>
    <w:p w14:paraId="7AD9EF89" w14:textId="77777777" w:rsidR="008C0AE7" w:rsidRPr="00BF26A6" w:rsidRDefault="008C0AE7" w:rsidP="00BF26A6">
      <w:pPr>
        <w:pStyle w:val="NormalWeb"/>
        <w:rPr>
          <w:rFonts w:ascii="Arial" w:hAnsi="Arial" w:cs="Arial"/>
          <w:sz w:val="22"/>
          <w:szCs w:val="22"/>
        </w:rPr>
      </w:pPr>
      <w:r w:rsidRPr="00BF26A6">
        <w:rPr>
          <w:rStyle w:val="Strong"/>
          <w:rFonts w:ascii="Arial" w:eastAsiaTheme="majorEastAsia" w:hAnsi="Arial" w:cs="Arial"/>
          <w:sz w:val="22"/>
          <w:szCs w:val="22"/>
        </w:rPr>
        <w:t>Conclusion</w:t>
      </w:r>
      <w:r w:rsidRPr="00BF26A6">
        <w:rPr>
          <w:rFonts w:ascii="Arial" w:hAnsi="Arial" w:cs="Arial"/>
          <w:sz w:val="22"/>
          <w:szCs w:val="22"/>
        </w:rPr>
        <w:br/>
        <w:t>This study integrates culturally responsive education with structured medication review to position Arabic-speaking individuals with T2DM at the centre of diabetes care. Findings will inform the refinement of the intervention and lay the groundwork for future trials, addressing a critical gap in equitable, person-centred diabetes management.</w:t>
      </w:r>
    </w:p>
    <w:p w14:paraId="74F3E10D" w14:textId="77777777" w:rsidR="00133017" w:rsidRDefault="00133017"/>
    <w:sectPr w:rsidR="00133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E6"/>
    <w:rsid w:val="000D64E6"/>
    <w:rsid w:val="00133017"/>
    <w:rsid w:val="00155C00"/>
    <w:rsid w:val="00374800"/>
    <w:rsid w:val="00431013"/>
    <w:rsid w:val="008C0AE7"/>
    <w:rsid w:val="00BF26A6"/>
    <w:rsid w:val="00D208F0"/>
    <w:rsid w:val="00DE64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92D"/>
  <w15:chartTrackingRefBased/>
  <w15:docId w15:val="{37EB808C-FCB6-44B2-BBE8-F2E5E3D4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4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4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4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4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4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4E6"/>
    <w:rPr>
      <w:rFonts w:eastAsiaTheme="majorEastAsia" w:cstheme="majorBidi"/>
      <w:color w:val="272727" w:themeColor="text1" w:themeTint="D8"/>
    </w:rPr>
  </w:style>
  <w:style w:type="paragraph" w:styleId="Title">
    <w:name w:val="Title"/>
    <w:basedOn w:val="Normal"/>
    <w:next w:val="Normal"/>
    <w:link w:val="TitleChar"/>
    <w:uiPriority w:val="10"/>
    <w:qFormat/>
    <w:rsid w:val="000D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4E6"/>
    <w:pPr>
      <w:spacing w:before="160"/>
      <w:jc w:val="center"/>
    </w:pPr>
    <w:rPr>
      <w:i/>
      <w:iCs/>
      <w:color w:val="404040" w:themeColor="text1" w:themeTint="BF"/>
    </w:rPr>
  </w:style>
  <w:style w:type="character" w:customStyle="1" w:styleId="QuoteChar">
    <w:name w:val="Quote Char"/>
    <w:basedOn w:val="DefaultParagraphFont"/>
    <w:link w:val="Quote"/>
    <w:uiPriority w:val="29"/>
    <w:rsid w:val="000D64E6"/>
    <w:rPr>
      <w:i/>
      <w:iCs/>
      <w:color w:val="404040" w:themeColor="text1" w:themeTint="BF"/>
    </w:rPr>
  </w:style>
  <w:style w:type="paragraph" w:styleId="ListParagraph">
    <w:name w:val="List Paragraph"/>
    <w:basedOn w:val="Normal"/>
    <w:uiPriority w:val="34"/>
    <w:qFormat/>
    <w:rsid w:val="000D64E6"/>
    <w:pPr>
      <w:ind w:left="720"/>
      <w:contextualSpacing/>
    </w:pPr>
  </w:style>
  <w:style w:type="character" w:styleId="IntenseEmphasis">
    <w:name w:val="Intense Emphasis"/>
    <w:basedOn w:val="DefaultParagraphFont"/>
    <w:uiPriority w:val="21"/>
    <w:qFormat/>
    <w:rsid w:val="000D64E6"/>
    <w:rPr>
      <w:i/>
      <w:iCs/>
      <w:color w:val="2F5496" w:themeColor="accent1" w:themeShade="BF"/>
    </w:rPr>
  </w:style>
  <w:style w:type="paragraph" w:styleId="IntenseQuote">
    <w:name w:val="Intense Quote"/>
    <w:basedOn w:val="Normal"/>
    <w:next w:val="Normal"/>
    <w:link w:val="IntenseQuoteChar"/>
    <w:uiPriority w:val="30"/>
    <w:qFormat/>
    <w:rsid w:val="000D6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4E6"/>
    <w:rPr>
      <w:i/>
      <w:iCs/>
      <w:color w:val="2F5496" w:themeColor="accent1" w:themeShade="BF"/>
    </w:rPr>
  </w:style>
  <w:style w:type="character" w:styleId="IntenseReference">
    <w:name w:val="Intense Reference"/>
    <w:basedOn w:val="DefaultParagraphFont"/>
    <w:uiPriority w:val="32"/>
    <w:qFormat/>
    <w:rsid w:val="000D64E6"/>
    <w:rPr>
      <w:b/>
      <w:bCs/>
      <w:smallCaps/>
      <w:color w:val="2F5496" w:themeColor="accent1" w:themeShade="BF"/>
      <w:spacing w:val="5"/>
    </w:rPr>
  </w:style>
  <w:style w:type="paragraph" w:styleId="NormalWeb">
    <w:name w:val="Normal (Web)"/>
    <w:basedOn w:val="Normal"/>
    <w:uiPriority w:val="99"/>
    <w:semiHidden/>
    <w:unhideWhenUsed/>
    <w:rsid w:val="008C0AE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8C0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615BB-1163-4AEC-8ECA-C4562C6F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F3FBF-0A3F-4DD6-A396-BAC77BE4D6D8}">
  <ds:schemaRefs>
    <ds:schemaRef ds:uri="http://schemas.microsoft.com/sharepoint/v3/contenttype/forms"/>
  </ds:schemaRefs>
</ds:datastoreItem>
</file>

<file path=customXml/itemProps3.xml><?xml version="1.0" encoding="utf-8"?>
<ds:datastoreItem xmlns:ds="http://schemas.openxmlformats.org/officeDocument/2006/customXml" ds:itemID="{DB80FA12-D8A3-4AE7-9A14-9447B852E65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2219</Characters>
  <Application>Microsoft Office Word</Application>
  <DocSecurity>0</DocSecurity>
  <Lines>47</Lines>
  <Paragraphs>11</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Fawzi</dc:creator>
  <cp:keywords/>
  <dc:description/>
  <cp:lastModifiedBy>Tanya Yandall</cp:lastModifiedBy>
  <cp:revision>3</cp:revision>
  <dcterms:created xsi:type="dcterms:W3CDTF">2026-02-23T22:37:00Z</dcterms:created>
  <dcterms:modified xsi:type="dcterms:W3CDTF">2026-02-23T22:38:00Z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