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1C9BAA73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C9870F8" w:rsidR="001564A4" w:rsidRPr="0050053A" w:rsidRDefault="0054517F" w:rsidP="1C9BAA7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End</w:t>
            </w:r>
            <w:r w:rsidR="007B3F28"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-</w:t>
            </w:r>
            <w:r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of</w:t>
            </w:r>
            <w:r w:rsidR="007B3F28"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-</w:t>
            </w:r>
            <w:r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life care during COVID-19 case surges at </w:t>
            </w:r>
            <w:r w:rsidR="00AD7785"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a </w:t>
            </w:r>
            <w:r w:rsidR="420C375B" w:rsidRPr="1C9BAA7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tertiary hospital</w:t>
            </w:r>
          </w:p>
        </w:tc>
      </w:tr>
      <w:tr w:rsidR="001564A4" w:rsidRPr="0050053A" w14:paraId="0E2E035C" w14:textId="77777777" w:rsidTr="1C9BAA73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E5BCB29" w:rsidR="0054517F" w:rsidRPr="00A3141C" w:rsidRDefault="006B399E" w:rsidP="009A31BD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Annette Huang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6F637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Lewis Holmes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231F4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Julia Fatto</w:t>
            </w:r>
            <w:r w:rsidR="009A31BD">
              <w:rPr>
                <w:rFonts w:ascii="Arial" w:hAnsi="Arial" w:cs="Arial"/>
                <w:sz w:val="22"/>
                <w:szCs w:val="22"/>
                <w:lang w:val="en-US" w:eastAsia="en-GB"/>
              </w:rPr>
              <w:t>re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A31BD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F637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Kelly Chen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F637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231F45">
              <w:rPr>
                <w:rFonts w:ascii="Arial" w:hAnsi="Arial" w:cs="Arial"/>
                <w:sz w:val="22"/>
                <w:szCs w:val="22"/>
                <w:lang w:val="en-US" w:eastAsia="en-GB"/>
              </w:rPr>
              <w:t>Zinta Harrington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A31B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Yewon Chung</w:t>
            </w:r>
            <w:r w:rsidR="00A314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1C9BAA7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579A3639" w:rsidR="00A3141C" w:rsidRPr="0050053A" w:rsidRDefault="001564A4" w:rsidP="00A3141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D1EE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</w:t>
            </w:r>
            <w:r w:rsidR="00A3141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ment of Respiratory Medicine, Liverpool Hospital, NSW, Australia</w:t>
            </w:r>
          </w:p>
          <w:p w14:paraId="45ED36BF" w14:textId="3506585B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1C9BAA73">
        <w:trPr>
          <w:trHeight w:hRule="exact" w:val="10896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3C6A9E7" w14:textId="3C7F9AD1" w:rsidR="00BD2C62" w:rsidRPr="00DD2D16" w:rsidRDefault="00BD2C62" w:rsidP="0054517F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2022, COVID-19 </w:t>
            </w:r>
            <w:r w:rsidR="00986FA4">
              <w:rPr>
                <w:sz w:val="22"/>
                <w:szCs w:val="22"/>
              </w:rPr>
              <w:t>infection w</w:t>
            </w:r>
            <w:r>
              <w:rPr>
                <w:sz w:val="22"/>
                <w:szCs w:val="22"/>
              </w:rPr>
              <w:t>as the third leading cause of death in Australia.</w:t>
            </w:r>
            <w:r w:rsidR="00CD3940">
              <w:rPr>
                <w:sz w:val="22"/>
                <w:szCs w:val="22"/>
              </w:rPr>
              <w:t xml:space="preserve">  Li</w:t>
            </w:r>
            <w:r w:rsidR="00E823E5">
              <w:rPr>
                <w:sz w:val="22"/>
                <w:szCs w:val="22"/>
              </w:rPr>
              <w:t xml:space="preserve">verpool </w:t>
            </w:r>
            <w:r w:rsidR="00957D99">
              <w:rPr>
                <w:sz w:val="22"/>
                <w:szCs w:val="22"/>
              </w:rPr>
              <w:t>H</w:t>
            </w:r>
            <w:r w:rsidR="00E823E5">
              <w:rPr>
                <w:sz w:val="22"/>
                <w:szCs w:val="22"/>
              </w:rPr>
              <w:t>ospital</w:t>
            </w:r>
            <w:r w:rsidR="00D506C9">
              <w:rPr>
                <w:sz w:val="22"/>
                <w:szCs w:val="22"/>
              </w:rPr>
              <w:t xml:space="preserve"> in New South Wales</w:t>
            </w:r>
            <w:r w:rsidR="00E823E5">
              <w:rPr>
                <w:sz w:val="22"/>
                <w:szCs w:val="22"/>
              </w:rPr>
              <w:t xml:space="preserve"> faced unprecedented demand </w:t>
            </w:r>
            <w:r w:rsidR="00957D99">
              <w:rPr>
                <w:sz w:val="22"/>
                <w:szCs w:val="22"/>
              </w:rPr>
              <w:t xml:space="preserve">during </w:t>
            </w:r>
            <w:r w:rsidR="00101113">
              <w:rPr>
                <w:sz w:val="22"/>
                <w:szCs w:val="22"/>
              </w:rPr>
              <w:t>the Delta and Omicron waves,</w:t>
            </w:r>
            <w:r w:rsidR="00E823E5">
              <w:rPr>
                <w:sz w:val="22"/>
                <w:szCs w:val="22"/>
              </w:rPr>
              <w:t xml:space="preserve"> with anecdotal strain on service provision and quality of care. </w:t>
            </w:r>
            <w:r w:rsidR="007B3F28">
              <w:rPr>
                <w:sz w:val="22"/>
                <w:szCs w:val="22"/>
              </w:rPr>
              <w:t xml:space="preserve">We sought to describe </w:t>
            </w:r>
            <w:r w:rsidR="00DF746F">
              <w:rPr>
                <w:sz w:val="22"/>
                <w:szCs w:val="22"/>
              </w:rPr>
              <w:t xml:space="preserve">clinical and psychosocial </w:t>
            </w:r>
            <w:r w:rsidR="00EF3057">
              <w:rPr>
                <w:sz w:val="22"/>
                <w:szCs w:val="22"/>
              </w:rPr>
              <w:t xml:space="preserve">indicators of </w:t>
            </w:r>
            <w:r w:rsidR="007B3F28">
              <w:rPr>
                <w:sz w:val="22"/>
                <w:szCs w:val="22"/>
              </w:rPr>
              <w:t xml:space="preserve">end-of-life care </w:t>
            </w:r>
            <w:r w:rsidR="00EF3057">
              <w:rPr>
                <w:sz w:val="22"/>
                <w:szCs w:val="22"/>
              </w:rPr>
              <w:t xml:space="preserve">during this time, </w:t>
            </w:r>
            <w:r w:rsidR="005078FA">
              <w:rPr>
                <w:sz w:val="22"/>
                <w:szCs w:val="22"/>
              </w:rPr>
              <w:t xml:space="preserve">with the goal of identifying </w:t>
            </w:r>
            <w:r w:rsidR="00072074">
              <w:rPr>
                <w:sz w:val="22"/>
                <w:szCs w:val="22"/>
              </w:rPr>
              <w:t xml:space="preserve">key domains in which future care might be improved.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0D83DEE0" w:rsidR="001564A4" w:rsidRPr="0054517F" w:rsidRDefault="00831D98" w:rsidP="00E214BC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was a retrospective, single-centre study </w:t>
            </w:r>
            <w:r w:rsidR="0006481B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="00DC201E">
              <w:rPr>
                <w:sz w:val="22"/>
                <w:szCs w:val="22"/>
              </w:rPr>
              <w:t xml:space="preserve">adults </w:t>
            </w:r>
            <w:r w:rsidR="00BD2C62">
              <w:rPr>
                <w:sz w:val="22"/>
                <w:szCs w:val="22"/>
              </w:rPr>
              <w:t xml:space="preserve">who </w:t>
            </w:r>
            <w:r w:rsidR="00AB1768">
              <w:rPr>
                <w:sz w:val="22"/>
                <w:szCs w:val="22"/>
              </w:rPr>
              <w:t>died</w:t>
            </w:r>
            <w:r w:rsidR="0027303A">
              <w:rPr>
                <w:sz w:val="22"/>
                <w:szCs w:val="22"/>
              </w:rPr>
              <w:t xml:space="preserve"> </w:t>
            </w:r>
            <w:r w:rsidR="00DC201E">
              <w:rPr>
                <w:sz w:val="22"/>
                <w:szCs w:val="22"/>
              </w:rPr>
              <w:t>with</w:t>
            </w:r>
            <w:r w:rsidR="00AE70D7">
              <w:rPr>
                <w:sz w:val="22"/>
                <w:szCs w:val="22"/>
              </w:rPr>
              <w:t xml:space="preserve"> </w:t>
            </w:r>
            <w:r w:rsidR="00DC201E">
              <w:rPr>
                <w:sz w:val="22"/>
                <w:szCs w:val="22"/>
              </w:rPr>
              <w:t>COVID-19</w:t>
            </w:r>
            <w:r w:rsidR="00AB1768">
              <w:rPr>
                <w:sz w:val="22"/>
                <w:szCs w:val="22"/>
              </w:rPr>
              <w:t xml:space="preserve"> </w:t>
            </w:r>
            <w:r w:rsidR="008A01F3">
              <w:rPr>
                <w:sz w:val="22"/>
                <w:szCs w:val="22"/>
              </w:rPr>
              <w:t>from 1</w:t>
            </w:r>
            <w:r w:rsidR="008A01F3" w:rsidRPr="008A01F3">
              <w:rPr>
                <w:sz w:val="22"/>
                <w:szCs w:val="22"/>
                <w:vertAlign w:val="superscript"/>
              </w:rPr>
              <w:t>st</w:t>
            </w:r>
            <w:r w:rsidR="008A01F3">
              <w:rPr>
                <w:sz w:val="22"/>
                <w:szCs w:val="22"/>
              </w:rPr>
              <w:t xml:space="preserve"> June 2021 to 30</w:t>
            </w:r>
            <w:r w:rsidR="008A01F3" w:rsidRPr="008A01F3">
              <w:rPr>
                <w:sz w:val="22"/>
                <w:szCs w:val="22"/>
                <w:vertAlign w:val="superscript"/>
              </w:rPr>
              <w:t>th</w:t>
            </w:r>
            <w:r w:rsidR="008A01F3">
              <w:rPr>
                <w:sz w:val="22"/>
                <w:szCs w:val="22"/>
              </w:rPr>
              <w:t xml:space="preserve"> June 202</w:t>
            </w:r>
            <w:r>
              <w:rPr>
                <w:sz w:val="22"/>
                <w:szCs w:val="22"/>
              </w:rPr>
              <w:t>.</w:t>
            </w:r>
            <w:r w:rsidR="00905616">
              <w:rPr>
                <w:sz w:val="22"/>
                <w:szCs w:val="22"/>
              </w:rPr>
              <w:t xml:space="preserve"> </w:t>
            </w:r>
            <w:r w:rsidR="00CD3940">
              <w:rPr>
                <w:sz w:val="22"/>
                <w:szCs w:val="22"/>
              </w:rPr>
              <w:t xml:space="preserve"> </w:t>
            </w:r>
            <w:r w:rsidR="00905616">
              <w:rPr>
                <w:sz w:val="22"/>
                <w:szCs w:val="22"/>
              </w:rPr>
              <w:t>Patients were identified using diagnosis codes.</w:t>
            </w:r>
            <w:r w:rsidR="00CD3940">
              <w:rPr>
                <w:sz w:val="22"/>
                <w:szCs w:val="22"/>
              </w:rPr>
              <w:t xml:space="preserve">  </w:t>
            </w:r>
            <w:r w:rsidR="002373F2">
              <w:rPr>
                <w:sz w:val="22"/>
                <w:szCs w:val="22"/>
              </w:rPr>
              <w:t xml:space="preserve">Demographic and clinical data </w:t>
            </w:r>
            <w:r>
              <w:rPr>
                <w:sz w:val="22"/>
                <w:szCs w:val="22"/>
              </w:rPr>
              <w:t xml:space="preserve">were </w:t>
            </w:r>
            <w:r w:rsidR="00957D99">
              <w:rPr>
                <w:sz w:val="22"/>
                <w:szCs w:val="22"/>
              </w:rPr>
              <w:t xml:space="preserve">manually </w:t>
            </w:r>
            <w:r>
              <w:rPr>
                <w:sz w:val="22"/>
                <w:szCs w:val="22"/>
              </w:rPr>
              <w:t>collected from medical records</w:t>
            </w:r>
            <w:r w:rsidR="002373F2">
              <w:rPr>
                <w:sz w:val="22"/>
                <w:szCs w:val="22"/>
              </w:rPr>
              <w:t xml:space="preserve"> and descriptive analysis performed using </w:t>
            </w:r>
            <w:r>
              <w:rPr>
                <w:sz w:val="22"/>
                <w:szCs w:val="22"/>
              </w:rPr>
              <w:t>Microsoft Excel</w:t>
            </w:r>
            <w:r w:rsidR="0054517F">
              <w:rPr>
                <w:sz w:val="22"/>
                <w:szCs w:val="22"/>
              </w:rPr>
              <w:t>.</w:t>
            </w:r>
          </w:p>
          <w:p w14:paraId="6A3CFFB8" w14:textId="77777777" w:rsidR="00E214BC" w:rsidRPr="00E214BC" w:rsidRDefault="00E214BC" w:rsidP="00E214BC">
            <w:pPr>
              <w:pStyle w:val="Default"/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8F77515" w14:textId="2A18FE07" w:rsidR="001564A4" w:rsidRPr="0054517F" w:rsidRDefault="0006481B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294 identified patients</w:t>
            </w:r>
            <w:r w:rsidR="00380F6C">
              <w:rPr>
                <w:sz w:val="22"/>
                <w:szCs w:val="22"/>
              </w:rPr>
              <w:t xml:space="preserve"> (</w:t>
            </w:r>
            <w:r w:rsidR="00ED2541">
              <w:rPr>
                <w:sz w:val="22"/>
                <w:szCs w:val="22"/>
              </w:rPr>
              <w:t xml:space="preserve">mean </w:t>
            </w:r>
            <w:r w:rsidR="004C6C7D">
              <w:rPr>
                <w:sz w:val="22"/>
                <w:szCs w:val="22"/>
              </w:rPr>
              <w:t xml:space="preserve">age </w:t>
            </w:r>
            <w:r w:rsidR="00CD3940">
              <w:rPr>
                <w:sz w:val="22"/>
                <w:szCs w:val="22"/>
              </w:rPr>
              <w:t>76.4</w:t>
            </w:r>
            <w:r w:rsidR="00ED2541">
              <w:rPr>
                <w:sz w:val="22"/>
                <w:szCs w:val="22"/>
              </w:rPr>
              <w:t xml:space="preserve"> </w:t>
            </w:r>
            <w:r w:rsidR="004C6C7D">
              <w:rPr>
                <w:sz w:val="22"/>
                <w:szCs w:val="22"/>
              </w:rPr>
              <w:t>±</w:t>
            </w:r>
            <w:r w:rsidR="00ED2541">
              <w:rPr>
                <w:sz w:val="22"/>
                <w:szCs w:val="22"/>
              </w:rPr>
              <w:t xml:space="preserve"> </w:t>
            </w:r>
            <w:r w:rsidR="006001B6">
              <w:rPr>
                <w:sz w:val="22"/>
                <w:szCs w:val="22"/>
              </w:rPr>
              <w:t>13.1</w:t>
            </w:r>
            <w:r w:rsidR="004C6C7D">
              <w:rPr>
                <w:sz w:val="22"/>
                <w:szCs w:val="22"/>
              </w:rPr>
              <w:t xml:space="preserve"> (SD)</w:t>
            </w:r>
            <w:r w:rsidR="007B74F5">
              <w:rPr>
                <w:sz w:val="22"/>
                <w:szCs w:val="22"/>
              </w:rPr>
              <w:t xml:space="preserve"> years)</w:t>
            </w:r>
            <w:r>
              <w:rPr>
                <w:sz w:val="22"/>
                <w:szCs w:val="22"/>
              </w:rPr>
              <w:t>, the</w:t>
            </w:r>
            <w:r w:rsidR="0074196F">
              <w:rPr>
                <w:sz w:val="22"/>
                <w:szCs w:val="22"/>
              </w:rPr>
              <w:t xml:space="preserve"> majority were male</w:t>
            </w:r>
            <w:r w:rsidR="0027303A">
              <w:rPr>
                <w:sz w:val="22"/>
                <w:szCs w:val="22"/>
              </w:rPr>
              <w:t xml:space="preserve"> (</w:t>
            </w:r>
            <w:r w:rsidR="00831D98">
              <w:rPr>
                <w:sz w:val="22"/>
                <w:szCs w:val="22"/>
              </w:rPr>
              <w:t>62</w:t>
            </w:r>
            <w:r w:rsidR="0027303A">
              <w:rPr>
                <w:sz w:val="22"/>
                <w:szCs w:val="22"/>
              </w:rPr>
              <w:t>%)</w:t>
            </w:r>
            <w:r w:rsidR="0074196F">
              <w:rPr>
                <w:sz w:val="22"/>
                <w:szCs w:val="22"/>
              </w:rPr>
              <w:t>, of a non-English speaking background</w:t>
            </w:r>
            <w:r w:rsidR="0027303A">
              <w:rPr>
                <w:sz w:val="22"/>
                <w:szCs w:val="22"/>
              </w:rPr>
              <w:t xml:space="preserve"> (</w:t>
            </w:r>
            <w:r w:rsidR="00831D98">
              <w:rPr>
                <w:sz w:val="22"/>
                <w:szCs w:val="22"/>
              </w:rPr>
              <w:t>59</w:t>
            </w:r>
            <w:r w:rsidR="0027303A">
              <w:rPr>
                <w:sz w:val="22"/>
                <w:szCs w:val="22"/>
              </w:rPr>
              <w:t>%)</w:t>
            </w:r>
            <w:r w:rsidR="0074196F">
              <w:rPr>
                <w:sz w:val="22"/>
                <w:szCs w:val="22"/>
              </w:rPr>
              <w:t xml:space="preserve">, and </w:t>
            </w:r>
            <w:r w:rsidR="006B08A6">
              <w:rPr>
                <w:sz w:val="22"/>
                <w:szCs w:val="22"/>
              </w:rPr>
              <w:t>possessed at least three comorbid conditions (</w:t>
            </w:r>
            <w:r w:rsidR="0063426A">
              <w:rPr>
                <w:sz w:val="22"/>
                <w:szCs w:val="22"/>
              </w:rPr>
              <w:t>78</w:t>
            </w:r>
            <w:r w:rsidR="006B08A6">
              <w:rPr>
                <w:sz w:val="22"/>
                <w:szCs w:val="22"/>
              </w:rPr>
              <w:t xml:space="preserve">%). </w:t>
            </w:r>
            <w:r w:rsidR="00CD3940">
              <w:rPr>
                <w:sz w:val="22"/>
                <w:szCs w:val="22"/>
              </w:rPr>
              <w:t xml:space="preserve"> Advanced</w:t>
            </w:r>
            <w:r w:rsidR="006841EE">
              <w:rPr>
                <w:sz w:val="22"/>
                <w:szCs w:val="22"/>
              </w:rPr>
              <w:t xml:space="preserve"> care planning discussions were held for </w:t>
            </w:r>
            <w:r w:rsidR="0054517F">
              <w:rPr>
                <w:sz w:val="22"/>
                <w:szCs w:val="22"/>
              </w:rPr>
              <w:t>65%</w:t>
            </w:r>
            <w:r w:rsidR="00004E12">
              <w:rPr>
                <w:sz w:val="22"/>
                <w:szCs w:val="22"/>
              </w:rPr>
              <w:t xml:space="preserve"> </w:t>
            </w:r>
            <w:r w:rsidR="001E28D3">
              <w:rPr>
                <w:sz w:val="22"/>
                <w:szCs w:val="22"/>
              </w:rPr>
              <w:t>of cases</w:t>
            </w:r>
            <w:r w:rsidR="0054517F">
              <w:rPr>
                <w:sz w:val="22"/>
                <w:szCs w:val="22"/>
              </w:rPr>
              <w:t xml:space="preserve"> </w:t>
            </w:r>
            <w:r w:rsidR="006841EE">
              <w:rPr>
                <w:sz w:val="22"/>
                <w:szCs w:val="22"/>
              </w:rPr>
              <w:t>o</w:t>
            </w:r>
            <w:r w:rsidR="0054517F">
              <w:rPr>
                <w:sz w:val="22"/>
                <w:szCs w:val="22"/>
              </w:rPr>
              <w:t>n admission</w:t>
            </w:r>
            <w:r w:rsidR="001E28D3">
              <w:rPr>
                <w:sz w:val="22"/>
                <w:szCs w:val="22"/>
              </w:rPr>
              <w:t>, and review by specialist p</w:t>
            </w:r>
            <w:r w:rsidR="00AE70D7">
              <w:rPr>
                <w:sz w:val="22"/>
                <w:szCs w:val="22"/>
              </w:rPr>
              <w:t xml:space="preserve">alliative care </w:t>
            </w:r>
            <w:r w:rsidR="001E28D3">
              <w:rPr>
                <w:sz w:val="22"/>
                <w:szCs w:val="22"/>
              </w:rPr>
              <w:t>services</w:t>
            </w:r>
            <w:r w:rsidR="00AE70D7">
              <w:rPr>
                <w:sz w:val="22"/>
                <w:szCs w:val="22"/>
              </w:rPr>
              <w:t xml:space="preserve"> provided in 35%.</w:t>
            </w:r>
            <w:r w:rsidR="00CD3940">
              <w:rPr>
                <w:sz w:val="22"/>
                <w:szCs w:val="22"/>
              </w:rPr>
              <w:t xml:space="preserve">  S</w:t>
            </w:r>
            <w:r w:rsidR="008B0965">
              <w:rPr>
                <w:sz w:val="22"/>
                <w:szCs w:val="22"/>
              </w:rPr>
              <w:t xml:space="preserve">ymptom relief with </w:t>
            </w:r>
            <w:r w:rsidR="0074196F">
              <w:rPr>
                <w:sz w:val="22"/>
                <w:szCs w:val="22"/>
              </w:rPr>
              <w:t>opiates and benzodiazepines</w:t>
            </w:r>
            <w:r w:rsidR="001B1259">
              <w:rPr>
                <w:sz w:val="22"/>
                <w:szCs w:val="22"/>
              </w:rPr>
              <w:t xml:space="preserve"> were prescribed </w:t>
            </w:r>
            <w:r w:rsidR="008B0965">
              <w:rPr>
                <w:sz w:val="22"/>
                <w:szCs w:val="22"/>
              </w:rPr>
              <w:t>in</w:t>
            </w:r>
            <w:r w:rsidR="001B1259">
              <w:rPr>
                <w:sz w:val="22"/>
                <w:szCs w:val="22"/>
              </w:rPr>
              <w:t xml:space="preserve"> 88% and 72%, respectively.</w:t>
            </w:r>
            <w:r w:rsidR="00CD3940">
              <w:rPr>
                <w:sz w:val="22"/>
                <w:szCs w:val="22"/>
              </w:rPr>
              <w:t xml:space="preserve"> </w:t>
            </w:r>
            <w:r w:rsidR="0074196F">
              <w:rPr>
                <w:sz w:val="22"/>
                <w:szCs w:val="22"/>
              </w:rPr>
              <w:t xml:space="preserve"> </w:t>
            </w:r>
            <w:r w:rsidR="004E3AF4">
              <w:rPr>
                <w:sz w:val="22"/>
                <w:szCs w:val="22"/>
              </w:rPr>
              <w:t xml:space="preserve">Pre-mortem family contact (in-person or virtual) was facilitated in </w:t>
            </w:r>
            <w:r w:rsidR="0074196F" w:rsidRPr="00AE70D7">
              <w:rPr>
                <w:color w:val="000000" w:themeColor="text1"/>
                <w:sz w:val="22"/>
                <w:szCs w:val="22"/>
              </w:rPr>
              <w:t>82% and bereavement counselling</w:t>
            </w:r>
            <w:r w:rsidR="00AE70D7" w:rsidRPr="00AE70D7">
              <w:rPr>
                <w:color w:val="000000" w:themeColor="text1"/>
                <w:sz w:val="22"/>
                <w:szCs w:val="22"/>
              </w:rPr>
              <w:t xml:space="preserve"> was provided</w:t>
            </w:r>
            <w:r w:rsidR="0074196F" w:rsidRPr="00AE70D7">
              <w:rPr>
                <w:color w:val="000000" w:themeColor="text1"/>
                <w:sz w:val="22"/>
                <w:szCs w:val="22"/>
              </w:rPr>
              <w:t xml:space="preserve"> in 72% of cases.</w:t>
            </w:r>
            <w:r w:rsidR="00AE70D7" w:rsidRPr="00AE70D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303A" w:rsidRPr="00AE70D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2263E0D0" w14:textId="77777777" w:rsidR="0054517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72E3F4D" w14:textId="16A14DFC" w:rsidR="0054517F" w:rsidRPr="0054517F" w:rsidRDefault="00AB1768" w:rsidP="000A28E2">
            <w:pPr>
              <w:pStyle w:val="Pa12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Despite </w:t>
            </w:r>
            <w:r w:rsidR="00AC32D7">
              <w:rPr>
                <w:sz w:val="22"/>
                <w:szCs w:val="22"/>
              </w:rPr>
              <w:t>increased demand on health services,</w:t>
            </w:r>
            <w:r w:rsidR="00AE70D7">
              <w:rPr>
                <w:sz w:val="22"/>
                <w:szCs w:val="22"/>
              </w:rPr>
              <w:t xml:space="preserve"> </w:t>
            </w:r>
            <w:r w:rsidRPr="00AE70D7">
              <w:rPr>
                <w:sz w:val="22"/>
                <w:szCs w:val="22"/>
              </w:rPr>
              <w:t xml:space="preserve">most patients </w:t>
            </w:r>
            <w:r w:rsidR="007E54B2">
              <w:rPr>
                <w:sz w:val="22"/>
                <w:szCs w:val="22"/>
              </w:rPr>
              <w:t>who died with Covid-19</w:t>
            </w:r>
            <w:r w:rsidR="005E64C2">
              <w:rPr>
                <w:sz w:val="22"/>
                <w:szCs w:val="22"/>
              </w:rPr>
              <w:t xml:space="preserve"> </w:t>
            </w:r>
            <w:r w:rsidR="007E54B2">
              <w:rPr>
                <w:sz w:val="22"/>
                <w:szCs w:val="22"/>
              </w:rPr>
              <w:t>infection received</w:t>
            </w:r>
            <w:r w:rsidRPr="00AE70D7">
              <w:rPr>
                <w:sz w:val="22"/>
                <w:szCs w:val="22"/>
              </w:rPr>
              <w:t xml:space="preserve"> appropriate crisis medications</w:t>
            </w:r>
            <w:r w:rsidR="00735062">
              <w:rPr>
                <w:sz w:val="22"/>
                <w:szCs w:val="22"/>
              </w:rPr>
              <w:t xml:space="preserve"> and psychosocial support. </w:t>
            </w:r>
            <w:r w:rsidR="005E64C2">
              <w:rPr>
                <w:sz w:val="22"/>
                <w:szCs w:val="22"/>
              </w:rPr>
              <w:t xml:space="preserve"> </w:t>
            </w:r>
            <w:r w:rsidR="00735062">
              <w:rPr>
                <w:sz w:val="22"/>
                <w:szCs w:val="22"/>
              </w:rPr>
              <w:t xml:space="preserve">Family contact in some form was possible </w:t>
            </w:r>
            <w:r w:rsidR="00986FA4">
              <w:rPr>
                <w:sz w:val="22"/>
                <w:szCs w:val="22"/>
              </w:rPr>
              <w:t xml:space="preserve">for most </w:t>
            </w:r>
            <w:r w:rsidR="00801570">
              <w:rPr>
                <w:sz w:val="22"/>
                <w:szCs w:val="22"/>
              </w:rPr>
              <w:t xml:space="preserve">despite lockdowns and visiting restrictions. </w:t>
            </w:r>
            <w:r w:rsidRPr="00AE70D7">
              <w:rPr>
                <w:sz w:val="22"/>
                <w:szCs w:val="22"/>
              </w:rPr>
              <w:t xml:space="preserve"> </w:t>
            </w:r>
            <w:r w:rsidR="00D620A2">
              <w:rPr>
                <w:sz w:val="22"/>
                <w:szCs w:val="22"/>
              </w:rPr>
              <w:t>Future research should focus on the impacts o</w:t>
            </w:r>
            <w:r w:rsidR="009176A1">
              <w:rPr>
                <w:sz w:val="22"/>
                <w:szCs w:val="22"/>
              </w:rPr>
              <w:t>n patient</w:t>
            </w:r>
            <w:r w:rsidR="00D620A2">
              <w:rPr>
                <w:sz w:val="22"/>
                <w:szCs w:val="22"/>
              </w:rPr>
              <w:t xml:space="preserve"> </w:t>
            </w:r>
            <w:r w:rsidR="0003517C">
              <w:rPr>
                <w:sz w:val="22"/>
                <w:szCs w:val="22"/>
              </w:rPr>
              <w:t>families</w:t>
            </w:r>
            <w:r w:rsidR="009176A1">
              <w:rPr>
                <w:sz w:val="22"/>
                <w:szCs w:val="22"/>
              </w:rPr>
              <w:t>, as well as</w:t>
            </w:r>
            <w:r w:rsidR="0003517C">
              <w:rPr>
                <w:sz w:val="22"/>
                <w:szCs w:val="22"/>
              </w:rPr>
              <w:t xml:space="preserve"> staff involved in care of patients</w:t>
            </w:r>
            <w:r w:rsidR="009176A1">
              <w:rPr>
                <w:sz w:val="22"/>
                <w:szCs w:val="22"/>
              </w:rPr>
              <w:t xml:space="preserve"> d</w:t>
            </w:r>
            <w:r w:rsidR="0003517C">
              <w:rPr>
                <w:sz w:val="22"/>
                <w:szCs w:val="22"/>
              </w:rPr>
              <w:t>uring this distressing period.</w:t>
            </w:r>
          </w:p>
          <w:p w14:paraId="3E8B4283" w14:textId="39A8AE29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Cs/>
              </w:rPr>
              <w:br/>
            </w: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314BE22E" w14:textId="5467AA59" w:rsidR="00AD6663" w:rsidRPr="00AD6663" w:rsidRDefault="0027303A" w:rsidP="00CB7A85">
            <w:pPr>
              <w:pStyle w:val="Pa12"/>
            </w:pPr>
            <w:r>
              <w:rPr>
                <w:sz w:val="22"/>
                <w:szCs w:val="22"/>
              </w:rPr>
              <w:t>Nil</w:t>
            </w:r>
            <w:r w:rsidR="001564A4">
              <w:rPr>
                <w:sz w:val="22"/>
                <w:szCs w:val="22"/>
              </w:rPr>
              <w:br/>
            </w:r>
          </w:p>
          <w:p w14:paraId="01879C1D" w14:textId="77777777" w:rsidR="00DD41EC" w:rsidRPr="00AD6663" w:rsidRDefault="00DD41EC" w:rsidP="000A28E2">
            <w:pPr>
              <w:pStyle w:val="Pa12"/>
              <w:rPr>
                <w:b/>
                <w:bCs/>
                <w:sz w:val="22"/>
                <w:szCs w:val="22"/>
              </w:rPr>
            </w:pPr>
            <w:r w:rsidRPr="00AD6663">
              <w:rPr>
                <w:b/>
                <w:bCs/>
                <w:sz w:val="22"/>
                <w:szCs w:val="22"/>
              </w:rPr>
              <w:t>Key Words:</w:t>
            </w:r>
          </w:p>
          <w:p w14:paraId="7F8381F0" w14:textId="2582E14F" w:rsidR="001564A4" w:rsidRDefault="00DD41E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COVID-19, </w:t>
            </w:r>
            <w:r w:rsidR="00AD6663">
              <w:rPr>
                <w:sz w:val="22"/>
                <w:szCs w:val="22"/>
              </w:rPr>
              <w:t>Palliative Care</w:t>
            </w:r>
            <w:r w:rsidR="00902988">
              <w:rPr>
                <w:sz w:val="22"/>
                <w:szCs w:val="22"/>
              </w:rPr>
              <w:t xml:space="preserve">, End-of-life Care 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4E12"/>
    <w:rsid w:val="0003517C"/>
    <w:rsid w:val="0006481B"/>
    <w:rsid w:val="00072074"/>
    <w:rsid w:val="00101113"/>
    <w:rsid w:val="001564A4"/>
    <w:rsid w:val="00167CC6"/>
    <w:rsid w:val="001B1259"/>
    <w:rsid w:val="001C69F4"/>
    <w:rsid w:val="001E28D3"/>
    <w:rsid w:val="0021795C"/>
    <w:rsid w:val="00221857"/>
    <w:rsid w:val="00231F45"/>
    <w:rsid w:val="002373F2"/>
    <w:rsid w:val="00263F1F"/>
    <w:rsid w:val="0027303A"/>
    <w:rsid w:val="002A1512"/>
    <w:rsid w:val="002D18A2"/>
    <w:rsid w:val="00380F6C"/>
    <w:rsid w:val="00422B74"/>
    <w:rsid w:val="004C6C7D"/>
    <w:rsid w:val="004E3AF4"/>
    <w:rsid w:val="005078FA"/>
    <w:rsid w:val="0051574E"/>
    <w:rsid w:val="0054517F"/>
    <w:rsid w:val="005D1E6B"/>
    <w:rsid w:val="005E64C2"/>
    <w:rsid w:val="006001B6"/>
    <w:rsid w:val="0063426A"/>
    <w:rsid w:val="006405DD"/>
    <w:rsid w:val="006841EE"/>
    <w:rsid w:val="006B08A6"/>
    <w:rsid w:val="006B399E"/>
    <w:rsid w:val="006C4765"/>
    <w:rsid w:val="006F6378"/>
    <w:rsid w:val="00724CD1"/>
    <w:rsid w:val="00735062"/>
    <w:rsid w:val="0074196F"/>
    <w:rsid w:val="007B3F28"/>
    <w:rsid w:val="007B74F5"/>
    <w:rsid w:val="007E54B2"/>
    <w:rsid w:val="00801570"/>
    <w:rsid w:val="00831D98"/>
    <w:rsid w:val="008803FA"/>
    <w:rsid w:val="008A01F3"/>
    <w:rsid w:val="008B0965"/>
    <w:rsid w:val="00902988"/>
    <w:rsid w:val="00905616"/>
    <w:rsid w:val="009176A1"/>
    <w:rsid w:val="00957D99"/>
    <w:rsid w:val="00971B56"/>
    <w:rsid w:val="00986FA4"/>
    <w:rsid w:val="009A31BD"/>
    <w:rsid w:val="00A3141C"/>
    <w:rsid w:val="00A7545F"/>
    <w:rsid w:val="00AA20A2"/>
    <w:rsid w:val="00AB1768"/>
    <w:rsid w:val="00AC32D7"/>
    <w:rsid w:val="00AD6663"/>
    <w:rsid w:val="00AD7785"/>
    <w:rsid w:val="00AE70D7"/>
    <w:rsid w:val="00B12E32"/>
    <w:rsid w:val="00B30061"/>
    <w:rsid w:val="00BD2C62"/>
    <w:rsid w:val="00C17190"/>
    <w:rsid w:val="00CA6FC8"/>
    <w:rsid w:val="00CB7A85"/>
    <w:rsid w:val="00CD3940"/>
    <w:rsid w:val="00D012EC"/>
    <w:rsid w:val="00D13A4C"/>
    <w:rsid w:val="00D367E7"/>
    <w:rsid w:val="00D43B50"/>
    <w:rsid w:val="00D506C9"/>
    <w:rsid w:val="00D620A2"/>
    <w:rsid w:val="00DC201E"/>
    <w:rsid w:val="00DD2D16"/>
    <w:rsid w:val="00DD41EC"/>
    <w:rsid w:val="00DF746F"/>
    <w:rsid w:val="00E0700F"/>
    <w:rsid w:val="00E214BC"/>
    <w:rsid w:val="00E568E5"/>
    <w:rsid w:val="00E823E5"/>
    <w:rsid w:val="00ED1EEB"/>
    <w:rsid w:val="00ED2541"/>
    <w:rsid w:val="00EF3057"/>
    <w:rsid w:val="1C9BAA73"/>
    <w:rsid w:val="420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54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Annette Huang</cp:lastModifiedBy>
  <cp:revision>26</cp:revision>
  <dcterms:created xsi:type="dcterms:W3CDTF">2023-10-18T20:32:00Z</dcterms:created>
  <dcterms:modified xsi:type="dcterms:W3CDTF">2023-10-19T03:10:00Z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