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8640" w:type="dxa"/>
        <w:tblInd w:w="108" w:type="dxa"/>
        <w:tblLayout w:type="fixed"/>
        <w:tblLook w:val="01E0" w:firstRow="1" w:lastRow="1" w:firstColumn="1" w:lastColumn="1" w:noHBand="0" w:noVBand="0"/>
      </w:tblPr>
      <w:tblGrid>
        <w:gridCol w:w="8640"/>
      </w:tblGrid>
      <w:tr w:rsidR="002B7FC8" w:rsidRPr="00736190" w14:paraId="5A4DE250" w14:textId="77777777">
        <w:tc>
          <w:tcPr>
            <w:tcW w:w="8640" w:type="dxa"/>
          </w:tcPr>
          <w:p w14:paraId="5A4DE24F" w14:textId="2130F83D" w:rsidR="002B7FC8" w:rsidRPr="00FA7DF9" w:rsidRDefault="00FA7DF9" w:rsidP="00FA7DF9">
            <w:pPr>
              <w:jc w:val="center"/>
              <w:rPr>
                <w:rFonts w:ascii="Arial" w:hAnsi="Arial" w:cs="Arial"/>
                <w:b/>
                <w:bCs/>
                <w:sz w:val="22"/>
                <w:szCs w:val="22"/>
                <w:lang w:val="fr-CA" w:eastAsia="fr-CA"/>
              </w:rPr>
            </w:pPr>
            <w:r w:rsidRPr="00FA7DF9">
              <w:rPr>
                <w:rFonts w:ascii="Arial" w:hAnsi="Arial" w:cs="Arial"/>
                <w:b/>
                <w:bCs/>
                <w:sz w:val="22"/>
                <w:szCs w:val="22"/>
                <w:lang w:val="fr-CA" w:eastAsia="fr-CA"/>
              </w:rPr>
              <w:t>L’innovation responsable en alimentation: Les systèmes alimentaires favorables à la santé</w:t>
            </w:r>
          </w:p>
        </w:tc>
      </w:tr>
      <w:tr w:rsidR="002B7FC8" w:rsidRPr="00736190" w14:paraId="5A4DE264" w14:textId="77777777" w:rsidTr="008D5106">
        <w:trPr>
          <w:trHeight w:val="1266"/>
        </w:trPr>
        <w:tc>
          <w:tcPr>
            <w:tcW w:w="8640" w:type="dxa"/>
          </w:tcPr>
          <w:p w14:paraId="5A4DE253" w14:textId="2C39DF78" w:rsidR="00DA7A71" w:rsidRPr="00FA7DF9" w:rsidRDefault="00FA7DF9" w:rsidP="00FA7DF9">
            <w:pPr>
              <w:jc w:val="both"/>
              <w:rPr>
                <w:rFonts w:ascii="Arial" w:hAnsi="Arial" w:cs="Arial"/>
                <w:b/>
                <w:sz w:val="22"/>
                <w:szCs w:val="22"/>
                <w:lang w:val="fr-CA"/>
              </w:rPr>
            </w:pPr>
            <w:r w:rsidRPr="00FA7DF9">
              <w:rPr>
                <w:rFonts w:ascii="Arial" w:hAnsi="Arial" w:cs="Arial"/>
                <w:b/>
                <w:sz w:val="22"/>
                <w:szCs w:val="22"/>
                <w:lang w:val="fr-CA"/>
              </w:rPr>
              <w:t>Contexte</w:t>
            </w:r>
          </w:p>
          <w:p w14:paraId="6B50FD17" w14:textId="1AF8D111" w:rsidR="00283CA0" w:rsidRPr="00D73194" w:rsidRDefault="00D73194" w:rsidP="00FA7DF9">
            <w:pPr>
              <w:jc w:val="both"/>
              <w:rPr>
                <w:rFonts w:ascii="Arial" w:hAnsi="Arial" w:cs="Arial"/>
                <w:sz w:val="22"/>
                <w:szCs w:val="22"/>
                <w:lang w:val="fr-CA"/>
              </w:rPr>
            </w:pPr>
            <w:r w:rsidRPr="00D73194">
              <w:rPr>
                <w:rFonts w:ascii="Arial" w:hAnsi="Arial" w:cs="Arial"/>
                <w:sz w:val="22"/>
                <w:szCs w:val="22"/>
                <w:lang w:val="fr-CA"/>
              </w:rPr>
              <w:t xml:space="preserve">Le </w:t>
            </w:r>
            <w:r w:rsidR="00FA7DF9" w:rsidRPr="00D73194">
              <w:rPr>
                <w:rFonts w:ascii="Arial" w:hAnsi="Arial" w:cs="Arial"/>
                <w:sz w:val="22"/>
                <w:szCs w:val="22"/>
                <w:lang w:val="fr-CA"/>
              </w:rPr>
              <w:t>présent système alimentaire</w:t>
            </w:r>
            <w:r w:rsidRPr="00D73194">
              <w:rPr>
                <w:rFonts w:ascii="Arial" w:hAnsi="Arial" w:cs="Arial"/>
                <w:sz w:val="22"/>
                <w:szCs w:val="22"/>
                <w:lang w:val="fr-CA"/>
              </w:rPr>
              <w:t xml:space="preserve"> industriel</w:t>
            </w:r>
            <w:r w:rsidR="00FA7DF9" w:rsidRPr="00D73194">
              <w:rPr>
                <w:rFonts w:ascii="Arial" w:hAnsi="Arial" w:cs="Arial"/>
                <w:sz w:val="22"/>
                <w:szCs w:val="22"/>
                <w:lang w:val="fr-CA"/>
              </w:rPr>
              <w:t>, hérité du XIX</w:t>
            </w:r>
            <w:r w:rsidR="00FA7DF9" w:rsidRPr="00D73194">
              <w:rPr>
                <w:rFonts w:ascii="Arial" w:hAnsi="Arial" w:cs="Arial"/>
                <w:sz w:val="22"/>
                <w:szCs w:val="22"/>
                <w:vertAlign w:val="superscript"/>
                <w:lang w:val="fr-CA"/>
              </w:rPr>
              <w:t>e</w:t>
            </w:r>
            <w:r w:rsidR="00FA7DF9" w:rsidRPr="00D73194">
              <w:rPr>
                <w:rFonts w:ascii="Arial" w:hAnsi="Arial" w:cs="Arial"/>
                <w:sz w:val="22"/>
                <w:szCs w:val="22"/>
                <w:lang w:val="fr-CA"/>
              </w:rPr>
              <w:t xml:space="preserve"> siècle, ne contribue pas à résoudre les enjeux alimentaires actuels; au contraire, il les aggrave. </w:t>
            </w:r>
            <w:r w:rsidRPr="00D73194">
              <w:rPr>
                <w:rFonts w:ascii="Arial" w:hAnsi="Arial" w:cs="Arial"/>
                <w:sz w:val="22"/>
                <w:szCs w:val="22"/>
                <w:lang w:val="fr-CA"/>
              </w:rPr>
              <w:t xml:space="preserve">Des organisations innovantes, plus responsables que celles du système industriel émergent en nombre croissant. </w:t>
            </w:r>
            <w:r w:rsidR="00FA7DF9" w:rsidRPr="00D73194">
              <w:rPr>
                <w:rFonts w:ascii="Arial" w:hAnsi="Arial" w:cs="Arial"/>
                <w:sz w:val="22"/>
                <w:szCs w:val="22"/>
                <w:lang w:val="fr-CA"/>
              </w:rPr>
              <w:t>Ainsi, nous présentons un protocole de thèse qui a l’objectif est de mieux comprendre la transition des systèmes alimentaires face aux défis de sécurité alimentaire contemporains, en portant une attention particulière à la façon dont cette transition se déroule dans une économie développée et dans une économie émergente.</w:t>
            </w:r>
          </w:p>
          <w:p w14:paraId="7385DBBD" w14:textId="77777777" w:rsidR="00FA7DF9" w:rsidRPr="00FA7DF9" w:rsidRDefault="00FA7DF9" w:rsidP="00FA7DF9">
            <w:pPr>
              <w:jc w:val="both"/>
              <w:rPr>
                <w:rFonts w:ascii="Arial" w:eastAsia="Cambria" w:hAnsi="Arial" w:cs="Arial"/>
                <w:smallCaps/>
                <w:color w:val="000080"/>
                <w:spacing w:val="20"/>
                <w:sz w:val="22"/>
                <w:szCs w:val="22"/>
                <w:lang w:val="fr-CA"/>
              </w:rPr>
            </w:pPr>
          </w:p>
          <w:p w14:paraId="1D0A5378" w14:textId="6BD84C32" w:rsidR="00283CA0" w:rsidRPr="00FA7DF9" w:rsidRDefault="00283CA0" w:rsidP="00FA7DF9">
            <w:pPr>
              <w:jc w:val="both"/>
              <w:rPr>
                <w:rFonts w:ascii="Arial" w:hAnsi="Arial" w:cs="Arial"/>
                <w:b/>
                <w:sz w:val="22"/>
                <w:szCs w:val="22"/>
                <w:lang w:val="fr-CA"/>
              </w:rPr>
            </w:pPr>
            <w:r w:rsidRPr="00FA7DF9">
              <w:rPr>
                <w:rFonts w:ascii="Arial" w:hAnsi="Arial" w:cs="Arial"/>
                <w:b/>
                <w:sz w:val="22"/>
                <w:szCs w:val="22"/>
                <w:lang w:val="fr-CA"/>
              </w:rPr>
              <w:t>M</w:t>
            </w:r>
            <w:r w:rsidR="00FA7DF9" w:rsidRPr="00FA7DF9">
              <w:rPr>
                <w:rFonts w:ascii="Arial" w:hAnsi="Arial" w:cs="Arial"/>
                <w:b/>
                <w:sz w:val="22"/>
                <w:szCs w:val="22"/>
                <w:lang w:val="fr-CA"/>
              </w:rPr>
              <w:t>é</w:t>
            </w:r>
            <w:r w:rsidRPr="00FA7DF9">
              <w:rPr>
                <w:rFonts w:ascii="Arial" w:hAnsi="Arial" w:cs="Arial"/>
                <w:b/>
                <w:sz w:val="22"/>
                <w:szCs w:val="22"/>
                <w:lang w:val="fr-CA"/>
              </w:rPr>
              <w:t>thod</w:t>
            </w:r>
            <w:r w:rsidR="00FA7DF9" w:rsidRPr="00FA7DF9">
              <w:rPr>
                <w:rFonts w:ascii="Arial" w:hAnsi="Arial" w:cs="Arial"/>
                <w:b/>
                <w:sz w:val="22"/>
                <w:szCs w:val="22"/>
                <w:lang w:val="fr-CA"/>
              </w:rPr>
              <w:t>e</w:t>
            </w:r>
          </w:p>
          <w:p w14:paraId="5FDAD3CC" w14:textId="49568B9B" w:rsidR="00FA7DF9" w:rsidRPr="00FA7DF9" w:rsidRDefault="00FA7DF9" w:rsidP="00FA7DF9">
            <w:pPr>
              <w:shd w:val="clear" w:color="auto" w:fill="FFFFFF"/>
              <w:jc w:val="both"/>
              <w:rPr>
                <w:rFonts w:ascii="Arial" w:hAnsi="Arial" w:cs="Arial"/>
                <w:sz w:val="22"/>
                <w:szCs w:val="22"/>
                <w:lang w:val="fr-CA"/>
              </w:rPr>
            </w:pPr>
            <w:r w:rsidRPr="00FA7DF9">
              <w:rPr>
                <w:rFonts w:ascii="Arial" w:hAnsi="Arial" w:cs="Arial"/>
                <w:sz w:val="22"/>
                <w:szCs w:val="22"/>
                <w:lang w:val="fr-CA"/>
              </w:rPr>
              <w:t xml:space="preserve">Le devis de recherche est une étude de cas multiples longitudinal (2010-2020) portant sur les systèmes alimentaires alternatifs dans la province du Québec (Canada) et dans l’État de São Paulo (Brésil). Ceux-ci permettront de développer une analyse plus exhaustive des dynamiques institutionnelles qui facilitent et contraignent l’émergence d’une offre et d’une demande coordonnées pour des systèmes alternatifs. Dans chaque contexte, la transition sera analysée en tenant compte des interactions entre l’offre et la demande à l’aide d’un cadre conceptuel basé sur la théorie institutionnelle. La collecte de données </w:t>
            </w:r>
            <w:r w:rsidR="00D73194">
              <w:rPr>
                <w:rFonts w:ascii="Arial" w:hAnsi="Arial" w:cs="Arial"/>
                <w:sz w:val="22"/>
                <w:szCs w:val="22"/>
                <w:lang w:val="fr-CA"/>
              </w:rPr>
              <w:t>inclura des</w:t>
            </w:r>
            <w:r w:rsidRPr="00FA7DF9">
              <w:rPr>
                <w:rFonts w:ascii="Arial" w:hAnsi="Arial" w:cs="Arial"/>
                <w:sz w:val="22"/>
                <w:szCs w:val="22"/>
                <w:lang w:val="fr-CA"/>
              </w:rPr>
              <w:t xml:space="preserve"> entrevues, une enquête et l’analyse de documents.</w:t>
            </w:r>
            <w:bookmarkStart w:id="0" w:name="_GoBack"/>
            <w:bookmarkEnd w:id="0"/>
          </w:p>
          <w:p w14:paraId="33DA5163" w14:textId="77777777" w:rsidR="00283CA0" w:rsidRPr="00FA7DF9" w:rsidRDefault="00283CA0" w:rsidP="00FA7DF9">
            <w:pPr>
              <w:jc w:val="both"/>
              <w:rPr>
                <w:rFonts w:ascii="Arial" w:hAnsi="Arial" w:cs="Arial"/>
                <w:sz w:val="22"/>
                <w:szCs w:val="22"/>
                <w:lang w:val="fr-CA"/>
              </w:rPr>
            </w:pPr>
          </w:p>
          <w:p w14:paraId="041621F9" w14:textId="77777777" w:rsidR="00FA7DF9" w:rsidRPr="00FA7DF9" w:rsidRDefault="00FA7DF9" w:rsidP="00FA7DF9">
            <w:pPr>
              <w:jc w:val="both"/>
              <w:rPr>
                <w:rFonts w:ascii="Arial" w:hAnsi="Arial" w:cs="Arial"/>
                <w:b/>
                <w:sz w:val="22"/>
                <w:szCs w:val="22"/>
                <w:lang w:val="fr-CA"/>
              </w:rPr>
            </w:pPr>
            <w:r w:rsidRPr="00FA7DF9">
              <w:rPr>
                <w:rFonts w:ascii="Arial" w:hAnsi="Arial" w:cs="Arial"/>
                <w:b/>
                <w:sz w:val="22"/>
                <w:szCs w:val="22"/>
                <w:lang w:val="fr-CA"/>
              </w:rPr>
              <w:t>Résultats et discussion</w:t>
            </w:r>
          </w:p>
          <w:p w14:paraId="0CA90630" w14:textId="6AA29281" w:rsidR="00396C89" w:rsidRPr="00FA7DF9" w:rsidRDefault="0030391D" w:rsidP="00FA7DF9">
            <w:pPr>
              <w:jc w:val="both"/>
              <w:rPr>
                <w:rFonts w:ascii="Arial" w:hAnsi="Arial" w:cs="Arial"/>
                <w:sz w:val="22"/>
                <w:szCs w:val="22"/>
                <w:lang w:val="fr-CA"/>
              </w:rPr>
            </w:pPr>
            <w:r w:rsidRPr="00FA7DF9">
              <w:rPr>
                <w:rFonts w:ascii="Arial" w:hAnsi="Arial" w:cs="Arial"/>
                <w:sz w:val="22"/>
                <w:szCs w:val="22"/>
                <w:lang w:val="fr-CA"/>
              </w:rPr>
              <w:t>Des initiatives qui visent à changer la situation à partir de la production, de la distribution et de la consommation d’aliments plus sains et responsables (sur les plans éthique, économique, environnemental et social) sont de plus en plus présentes dans le monde. Elles soulèvent des questions qui restent à être comprises davantage par rapport à une possible transition du système dominant actuel vers des systèmes alternatifs</w:t>
            </w:r>
            <w:r>
              <w:rPr>
                <w:rFonts w:ascii="Arial" w:hAnsi="Arial" w:cs="Arial"/>
                <w:sz w:val="22"/>
                <w:szCs w:val="22"/>
                <w:lang w:val="fr-CA"/>
              </w:rPr>
              <w:t xml:space="preserve">. </w:t>
            </w:r>
            <w:r w:rsidR="00FA7DF9">
              <w:rPr>
                <w:rFonts w:ascii="Arial" w:hAnsi="Arial" w:cs="Arial"/>
                <w:sz w:val="22"/>
                <w:szCs w:val="22"/>
                <w:lang w:val="fr-CA"/>
              </w:rPr>
              <w:t>N</w:t>
            </w:r>
            <w:r w:rsidR="00FA7DF9" w:rsidRPr="00FA7DF9">
              <w:rPr>
                <w:rFonts w:ascii="Arial" w:hAnsi="Arial" w:cs="Arial"/>
                <w:sz w:val="22"/>
                <w:szCs w:val="22"/>
                <w:lang w:val="fr-CA"/>
              </w:rPr>
              <w:t xml:space="preserve">ous espérons </w:t>
            </w:r>
            <w:r w:rsidR="00D73194">
              <w:rPr>
                <w:rFonts w:ascii="Arial" w:hAnsi="Arial" w:cs="Arial"/>
                <w:sz w:val="22"/>
                <w:szCs w:val="22"/>
                <w:lang w:val="fr-CA"/>
              </w:rPr>
              <w:t xml:space="preserve">mieux comprendre </w:t>
            </w:r>
            <w:r w:rsidR="00FA7DF9" w:rsidRPr="00FA7DF9">
              <w:rPr>
                <w:rFonts w:ascii="Arial" w:hAnsi="Arial" w:cs="Arial"/>
                <w:sz w:val="22"/>
                <w:szCs w:val="22"/>
                <w:lang w:val="fr-CA"/>
              </w:rPr>
              <w:t>sur l’influence des formes organisationnelles et de pratiques du système alternatif sur le système alimentaire d</w:t>
            </w:r>
            <w:r w:rsidR="00FA7DF9">
              <w:rPr>
                <w:rFonts w:ascii="Arial" w:hAnsi="Arial" w:cs="Arial"/>
                <w:sz w:val="22"/>
                <w:szCs w:val="22"/>
                <w:lang w:val="fr-CA"/>
              </w:rPr>
              <w:t>ans les</w:t>
            </w:r>
            <w:r w:rsidR="00FA7DF9" w:rsidRPr="00FA7DF9">
              <w:rPr>
                <w:rFonts w:ascii="Arial" w:hAnsi="Arial" w:cs="Arial"/>
                <w:sz w:val="22"/>
                <w:szCs w:val="22"/>
                <w:lang w:val="fr-CA"/>
              </w:rPr>
              <w:t xml:space="preserve"> contextes </w:t>
            </w:r>
            <w:r w:rsidR="00FA7DF9">
              <w:rPr>
                <w:rFonts w:ascii="Arial" w:hAnsi="Arial" w:cs="Arial"/>
                <w:sz w:val="22"/>
                <w:szCs w:val="22"/>
                <w:lang w:val="fr-CA"/>
              </w:rPr>
              <w:t>étudiés</w:t>
            </w:r>
            <w:r w:rsidR="00FA7DF9" w:rsidRPr="00FA7DF9">
              <w:rPr>
                <w:rFonts w:ascii="Arial" w:hAnsi="Arial" w:cs="Arial"/>
                <w:sz w:val="22"/>
                <w:szCs w:val="22"/>
                <w:lang w:val="fr-CA"/>
              </w:rPr>
              <w:t xml:space="preserve">.  </w:t>
            </w:r>
          </w:p>
          <w:p w14:paraId="73BFEBE4" w14:textId="77777777" w:rsidR="00FA7DF9" w:rsidRPr="00FA7DF9" w:rsidRDefault="00FA7DF9" w:rsidP="00FA7DF9">
            <w:pPr>
              <w:jc w:val="both"/>
              <w:rPr>
                <w:rFonts w:ascii="Arial" w:hAnsi="Arial" w:cs="Arial"/>
                <w:sz w:val="22"/>
                <w:szCs w:val="22"/>
                <w:lang w:val="fr-CA"/>
              </w:rPr>
            </w:pPr>
          </w:p>
          <w:p w14:paraId="32946C4B" w14:textId="426A54A2" w:rsidR="00283CA0" w:rsidRPr="00FA7DF9" w:rsidRDefault="008D5106" w:rsidP="00FA7DF9">
            <w:pPr>
              <w:rPr>
                <w:rFonts w:ascii="Arial" w:hAnsi="Arial" w:cs="Arial"/>
                <w:b/>
                <w:sz w:val="22"/>
                <w:szCs w:val="22"/>
                <w:lang w:val="fr-CA"/>
              </w:rPr>
            </w:pPr>
            <w:r w:rsidRPr="00FA7DF9">
              <w:rPr>
                <w:rFonts w:ascii="Arial" w:hAnsi="Arial" w:cs="Arial"/>
                <w:b/>
                <w:sz w:val="22"/>
                <w:szCs w:val="22"/>
                <w:lang w:val="fr-CA"/>
              </w:rPr>
              <w:t>Conclusion</w:t>
            </w:r>
          </w:p>
          <w:p w14:paraId="24B8CD62" w14:textId="670578D8" w:rsidR="004B7D91" w:rsidRPr="00FA7DF9" w:rsidRDefault="00D73194" w:rsidP="00FA7DF9">
            <w:pPr>
              <w:jc w:val="both"/>
              <w:rPr>
                <w:rFonts w:ascii="Arial" w:hAnsi="Arial" w:cs="Arial"/>
                <w:sz w:val="22"/>
                <w:szCs w:val="22"/>
                <w:lang w:val="fr-CA"/>
              </w:rPr>
            </w:pPr>
            <w:r>
              <w:rPr>
                <w:rFonts w:ascii="Arial" w:hAnsi="Arial" w:cs="Arial"/>
                <w:sz w:val="22"/>
                <w:szCs w:val="22"/>
                <w:lang w:val="fr-CA"/>
              </w:rPr>
              <w:t xml:space="preserve">La pertinence et l’originalité de cette étude résident dans l’adoption d’une perspective de santé publique ancrée dans des théories organisationnelles pour analyser la transition vers des systèmes alimentaires alternatifs. </w:t>
            </w:r>
            <w:r w:rsidR="00FA7DF9">
              <w:rPr>
                <w:rFonts w:ascii="Arial" w:hAnsi="Arial" w:cs="Arial"/>
                <w:sz w:val="22"/>
                <w:szCs w:val="22"/>
                <w:lang w:val="fr-CA"/>
              </w:rPr>
              <w:t>Par ailleurs</w:t>
            </w:r>
            <w:r w:rsidR="00FA7DF9" w:rsidRPr="00FA7DF9">
              <w:rPr>
                <w:rFonts w:ascii="Arial" w:hAnsi="Arial" w:cs="Arial"/>
                <w:sz w:val="22"/>
                <w:szCs w:val="22"/>
                <w:lang w:val="fr-CA"/>
              </w:rPr>
              <w:t>, il analyse ce phénomène dans deux contextes économiques différents, ce qui peut contribuer à la fiabilité des résultats obtenus.</w:t>
            </w:r>
          </w:p>
          <w:p w14:paraId="291021FB" w14:textId="77777777" w:rsidR="00FA7DF9" w:rsidRPr="00FA7DF9" w:rsidRDefault="00FA7DF9" w:rsidP="00FA7DF9">
            <w:pPr>
              <w:jc w:val="both"/>
              <w:rPr>
                <w:rFonts w:ascii="Arial" w:hAnsi="Arial" w:cs="Arial"/>
                <w:b/>
                <w:sz w:val="22"/>
                <w:szCs w:val="22"/>
                <w:lang w:val="fr-CA"/>
              </w:rPr>
            </w:pPr>
          </w:p>
          <w:p w14:paraId="3CDEB4A9" w14:textId="281EC1BE" w:rsidR="004B7D91" w:rsidRPr="00FA7DF9" w:rsidRDefault="00FA7DF9" w:rsidP="00FA7DF9">
            <w:pPr>
              <w:jc w:val="both"/>
              <w:rPr>
                <w:rFonts w:ascii="Arial" w:hAnsi="Arial" w:cs="Arial"/>
                <w:b/>
                <w:sz w:val="22"/>
                <w:szCs w:val="22"/>
                <w:lang w:val="fr-CA"/>
              </w:rPr>
            </w:pPr>
            <w:r w:rsidRPr="00FA7DF9">
              <w:rPr>
                <w:rFonts w:ascii="Arial" w:hAnsi="Arial" w:cs="Arial"/>
                <w:b/>
                <w:sz w:val="22"/>
                <w:szCs w:val="22"/>
                <w:lang w:val="fr-CA"/>
              </w:rPr>
              <w:t>Mots clés</w:t>
            </w:r>
          </w:p>
          <w:p w14:paraId="5A4DE263" w14:textId="04C49425" w:rsidR="00DA7A71" w:rsidRPr="00FA7DF9" w:rsidRDefault="00FA7DF9" w:rsidP="00FA7DF9">
            <w:pPr>
              <w:rPr>
                <w:rFonts w:ascii="Arial" w:hAnsi="Arial" w:cs="Arial"/>
                <w:b/>
                <w:sz w:val="22"/>
                <w:szCs w:val="22"/>
                <w:lang w:val="fr-CA"/>
              </w:rPr>
            </w:pPr>
            <w:r w:rsidRPr="00FA7DF9">
              <w:rPr>
                <w:rFonts w:ascii="Arial" w:hAnsi="Arial" w:cs="Arial"/>
                <w:sz w:val="22"/>
                <w:szCs w:val="22"/>
                <w:lang w:val="fr-CA"/>
              </w:rPr>
              <w:t xml:space="preserve">système alimentaire; système alimentaire alternatif; innovation responsable; santé publique; </w:t>
            </w:r>
            <w:r w:rsidRPr="00FA7DF9">
              <w:rPr>
                <w:rFonts w:ascii="Arial" w:eastAsiaTheme="minorHAnsi" w:hAnsi="Arial" w:cs="Arial"/>
                <w:sz w:val="22"/>
                <w:szCs w:val="22"/>
                <w:lang w:val="fr-CA"/>
              </w:rPr>
              <w:t>sécurité alimentaire</w:t>
            </w:r>
            <w:r>
              <w:rPr>
                <w:rFonts w:ascii="Arial" w:eastAsiaTheme="minorHAnsi" w:hAnsi="Arial" w:cs="Arial"/>
                <w:sz w:val="22"/>
                <w:szCs w:val="22"/>
                <w:lang w:val="fr-CA"/>
              </w:rPr>
              <w:t>.</w:t>
            </w:r>
          </w:p>
        </w:tc>
      </w:tr>
    </w:tbl>
    <w:p w14:paraId="5A4DE265" w14:textId="4C2C1C75" w:rsidR="00490208" w:rsidRPr="00FA7DF9" w:rsidRDefault="00490208" w:rsidP="004C45A1">
      <w:pPr>
        <w:rPr>
          <w:lang w:val="fr-CA"/>
        </w:rPr>
      </w:pPr>
    </w:p>
    <w:sectPr w:rsidR="00490208" w:rsidRPr="00FA7DF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404E6" w14:textId="77777777" w:rsidR="002E5FDF" w:rsidRDefault="002E5FDF" w:rsidP="00CC2E0F">
      <w:r>
        <w:separator/>
      </w:r>
    </w:p>
  </w:endnote>
  <w:endnote w:type="continuationSeparator" w:id="0">
    <w:p w14:paraId="4DCDA052" w14:textId="77777777" w:rsidR="002E5FDF" w:rsidRDefault="002E5FDF" w:rsidP="00CC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6CD70" w14:textId="77777777" w:rsidR="00CC2E0F" w:rsidRDefault="00CC2E0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454E" w14:textId="77777777" w:rsidR="00CC2E0F" w:rsidRDefault="00CC2E0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0565B" w14:textId="77777777" w:rsidR="00CC2E0F" w:rsidRDefault="00CC2E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27649" w14:textId="77777777" w:rsidR="002E5FDF" w:rsidRDefault="002E5FDF" w:rsidP="00CC2E0F">
      <w:r>
        <w:separator/>
      </w:r>
    </w:p>
  </w:footnote>
  <w:footnote w:type="continuationSeparator" w:id="0">
    <w:p w14:paraId="6C12766F" w14:textId="77777777" w:rsidR="002E5FDF" w:rsidRDefault="002E5FDF" w:rsidP="00CC2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89247" w14:textId="77777777" w:rsidR="00CC2E0F" w:rsidRDefault="00CC2E0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67EDA" w14:textId="77777777" w:rsidR="00CC2E0F" w:rsidRDefault="00CC2E0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4C0E7" w14:textId="77777777" w:rsidR="00CC2E0F" w:rsidRDefault="00CC2E0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50681"/>
    <w:rsid w:val="00077988"/>
    <w:rsid w:val="0008349E"/>
    <w:rsid w:val="00091BEF"/>
    <w:rsid w:val="000C05CE"/>
    <w:rsid w:val="00106FF8"/>
    <w:rsid w:val="00131D1E"/>
    <w:rsid w:val="001440FE"/>
    <w:rsid w:val="00167718"/>
    <w:rsid w:val="001C3A37"/>
    <w:rsid w:val="00211765"/>
    <w:rsid w:val="00213013"/>
    <w:rsid w:val="00230B21"/>
    <w:rsid w:val="00234EAA"/>
    <w:rsid w:val="00242808"/>
    <w:rsid w:val="00283CA0"/>
    <w:rsid w:val="00294265"/>
    <w:rsid w:val="00296694"/>
    <w:rsid w:val="002B7FC8"/>
    <w:rsid w:val="002E5FDF"/>
    <w:rsid w:val="002F34DB"/>
    <w:rsid w:val="0030391D"/>
    <w:rsid w:val="00317FFE"/>
    <w:rsid w:val="00363AF7"/>
    <w:rsid w:val="00396C89"/>
    <w:rsid w:val="003A6236"/>
    <w:rsid w:val="003B15A7"/>
    <w:rsid w:val="003F596D"/>
    <w:rsid w:val="00416E80"/>
    <w:rsid w:val="00450CBE"/>
    <w:rsid w:val="00472E72"/>
    <w:rsid w:val="00485601"/>
    <w:rsid w:val="00490208"/>
    <w:rsid w:val="004B5B95"/>
    <w:rsid w:val="004B7D91"/>
    <w:rsid w:val="004C45A1"/>
    <w:rsid w:val="004E345D"/>
    <w:rsid w:val="004F7307"/>
    <w:rsid w:val="005042EB"/>
    <w:rsid w:val="005332A9"/>
    <w:rsid w:val="00564331"/>
    <w:rsid w:val="00590824"/>
    <w:rsid w:val="005E63F4"/>
    <w:rsid w:val="005F7DC7"/>
    <w:rsid w:val="006605DB"/>
    <w:rsid w:val="00663BFF"/>
    <w:rsid w:val="006C3522"/>
    <w:rsid w:val="006C6E32"/>
    <w:rsid w:val="0070252B"/>
    <w:rsid w:val="00714C46"/>
    <w:rsid w:val="00736190"/>
    <w:rsid w:val="007A2A9C"/>
    <w:rsid w:val="007E61BA"/>
    <w:rsid w:val="00815AB0"/>
    <w:rsid w:val="0082392D"/>
    <w:rsid w:val="00824463"/>
    <w:rsid w:val="008874BF"/>
    <w:rsid w:val="008C05AC"/>
    <w:rsid w:val="008C05C1"/>
    <w:rsid w:val="008C11EF"/>
    <w:rsid w:val="008D5106"/>
    <w:rsid w:val="00923AA4"/>
    <w:rsid w:val="009240E5"/>
    <w:rsid w:val="00932377"/>
    <w:rsid w:val="009579B1"/>
    <w:rsid w:val="00975972"/>
    <w:rsid w:val="009B7881"/>
    <w:rsid w:val="009C1B12"/>
    <w:rsid w:val="00A112C8"/>
    <w:rsid w:val="00A1780F"/>
    <w:rsid w:val="00A43D8E"/>
    <w:rsid w:val="00AA1598"/>
    <w:rsid w:val="00AA5B46"/>
    <w:rsid w:val="00AB42C9"/>
    <w:rsid w:val="00AE496C"/>
    <w:rsid w:val="00B12CD1"/>
    <w:rsid w:val="00B20967"/>
    <w:rsid w:val="00B766BF"/>
    <w:rsid w:val="00B80199"/>
    <w:rsid w:val="00BC5CBE"/>
    <w:rsid w:val="00BD4C6F"/>
    <w:rsid w:val="00C211D2"/>
    <w:rsid w:val="00C66A5F"/>
    <w:rsid w:val="00C73E89"/>
    <w:rsid w:val="00C84789"/>
    <w:rsid w:val="00C978A6"/>
    <w:rsid w:val="00CA0DE6"/>
    <w:rsid w:val="00CB2597"/>
    <w:rsid w:val="00CC2E0F"/>
    <w:rsid w:val="00CC5CF2"/>
    <w:rsid w:val="00CD0335"/>
    <w:rsid w:val="00CE496D"/>
    <w:rsid w:val="00CE5D57"/>
    <w:rsid w:val="00D71EFE"/>
    <w:rsid w:val="00D73194"/>
    <w:rsid w:val="00DA45EE"/>
    <w:rsid w:val="00DA7A71"/>
    <w:rsid w:val="00DC2C64"/>
    <w:rsid w:val="00DE6D44"/>
    <w:rsid w:val="00E0479B"/>
    <w:rsid w:val="00E36AD7"/>
    <w:rsid w:val="00E379B4"/>
    <w:rsid w:val="00E458B1"/>
    <w:rsid w:val="00F06F8D"/>
    <w:rsid w:val="00F16B61"/>
    <w:rsid w:val="00F20B73"/>
    <w:rsid w:val="00F407AD"/>
    <w:rsid w:val="00F86A0C"/>
    <w:rsid w:val="00FA7DF9"/>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Retraitcorpsdetexte">
    <w:name w:val="Body Text Indent"/>
    <w:basedOn w:val="Normal"/>
    <w:rsid w:val="000C05CE"/>
    <w:pPr>
      <w:spacing w:after="120"/>
      <w:ind w:left="283"/>
    </w:pPr>
    <w:rPr>
      <w:sz w:val="20"/>
      <w:szCs w:val="20"/>
      <w:lang w:val="en-US"/>
    </w:rPr>
  </w:style>
  <w:style w:type="table" w:styleId="Grilledutableau">
    <w:name w:val="Table Grid"/>
    <w:basedOn w:val="Tableau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r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En-tte">
    <w:name w:val="header"/>
    <w:basedOn w:val="Normal"/>
    <w:link w:val="En-tteCar"/>
    <w:unhideWhenUsed/>
    <w:rsid w:val="00CC2E0F"/>
    <w:pPr>
      <w:tabs>
        <w:tab w:val="center" w:pos="4320"/>
        <w:tab w:val="right" w:pos="8640"/>
      </w:tabs>
    </w:pPr>
  </w:style>
  <w:style w:type="character" w:customStyle="1" w:styleId="En-tteCar">
    <w:name w:val="En-tête Car"/>
    <w:basedOn w:val="Policepardfaut"/>
    <w:link w:val="En-tte"/>
    <w:rsid w:val="00CC2E0F"/>
    <w:rPr>
      <w:sz w:val="24"/>
      <w:szCs w:val="24"/>
      <w:lang w:val="en-GB" w:eastAsia="en-US"/>
    </w:rPr>
  </w:style>
  <w:style w:type="paragraph" w:styleId="Pieddepage">
    <w:name w:val="footer"/>
    <w:basedOn w:val="Normal"/>
    <w:link w:val="PieddepageCar"/>
    <w:unhideWhenUsed/>
    <w:rsid w:val="00CC2E0F"/>
    <w:pPr>
      <w:tabs>
        <w:tab w:val="center" w:pos="4320"/>
        <w:tab w:val="right" w:pos="8640"/>
      </w:tabs>
    </w:pPr>
  </w:style>
  <w:style w:type="character" w:customStyle="1" w:styleId="PieddepageCar">
    <w:name w:val="Pied de page Car"/>
    <w:basedOn w:val="Policepardfaut"/>
    <w:link w:val="Pieddepage"/>
    <w:rsid w:val="00CC2E0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351</Words>
  <Characters>2151</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Pozelli Sabio Renata</cp:lastModifiedBy>
  <cp:revision>6</cp:revision>
  <dcterms:created xsi:type="dcterms:W3CDTF">2018-08-23T11:58:00Z</dcterms:created>
  <dcterms:modified xsi:type="dcterms:W3CDTF">2018-08-27T15:15:00Z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