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A2FE66C" w:rsidR="004442AD" w:rsidRPr="001E7451" w:rsidRDefault="004442A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7451">
              <w:rPr>
                <w:rFonts w:ascii="Arial" w:hAnsi="Arial" w:cs="Arial"/>
                <w:b/>
                <w:sz w:val="22"/>
                <w:szCs w:val="22"/>
              </w:rPr>
              <w:t>Embodying mental health and wellbeing: A fun, experiential learning process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293E9A3" w14:textId="77777777" w:rsidR="004442AD" w:rsidRDefault="004442AD" w:rsidP="004442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 aims to enhance participant’s understanding of mental health and wellbeing research, policy and practice. This could help health promotion practitioners in a personal sense and inform health promotion initiatives with a range of populations. Key models that will be explored include the Wheel of Wellbeing, the Mental Wellbeing Impact Assessment, and the Experiential Learning Theory of High Level Wellness.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60AF423B" w14:textId="77777777" w:rsidR="004442AD" w:rsidRPr="008E149F" w:rsidRDefault="004442AD" w:rsidP="004442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 will incorporate several learning modalities, including a presentation, positive psychology activities, group sharing and individual reflection. Participatory leadership processes will also be modelled, including elements of circle way.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6D57BB04" w14:textId="77777777" w:rsidR="004442AD" w:rsidRDefault="004442AD" w:rsidP="004442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 about mental health and wellbeing research, policy and practice, including the need to complement top-down disease prevention strategies with bottom-up wellness promotion approaches.</w:t>
            </w:r>
          </w:p>
          <w:p w14:paraId="59AE80DD" w14:textId="77777777" w:rsidR="004442AD" w:rsidRDefault="004442AD" w:rsidP="004442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a range of fun, evidence-based wellbein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g activities.</w:t>
            </w:r>
          </w:p>
          <w:p w14:paraId="65C4A30F" w14:textId="77777777" w:rsidR="004442AD" w:rsidRDefault="004442AD" w:rsidP="004442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Try a number of participatory leadership practices, including elements of circle way (e.g., checking in and checking out with talking pieces).</w:t>
            </w:r>
          </w:p>
          <w:p w14:paraId="5A4DE25F" w14:textId="43B07394" w:rsidR="00DA7A71" w:rsidRPr="004442AD" w:rsidRDefault="004442AD" w:rsidP="004442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2AD">
              <w:rPr>
                <w:rFonts w:ascii="Arial" w:hAnsi="Arial" w:cs="Arial"/>
                <w:sz w:val="22"/>
                <w:szCs w:val="22"/>
              </w:rPr>
              <w:t>Reflect on personal and professional practice.</w:t>
            </w: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63484"/>
    <w:multiLevelType w:val="hybridMultilevel"/>
    <w:tmpl w:val="B8B0D4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E7451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442A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44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terms/"/>
    <ds:schemaRef ds:uri="http://www.w3.org/XML/1998/namespace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707A2-B0FF-4FD6-87C8-8591397C0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2018-09-17T01:49:00Z</dcterms:created>
  <dcterms:modified xsi:type="dcterms:W3CDTF">2018-09-17T01:49:00Z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