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D7A35" w14:textId="37E9BEE1" w:rsidR="009C374A" w:rsidRDefault="009C374A" w:rsidP="00375B20">
      <w:pPr>
        <w:rPr>
          <w:b/>
          <w:bCs/>
        </w:rPr>
      </w:pPr>
    </w:p>
    <w:tbl>
      <w:tblPr>
        <w:tblStyle w:val="TableGrid"/>
        <w:tblW w:w="8640" w:type="dxa"/>
        <w:tblInd w:w="108" w:type="dxa"/>
        <w:tblLayout w:type="fixed"/>
        <w:tblLook w:val="01E0" w:firstRow="1" w:lastRow="1" w:firstColumn="1" w:lastColumn="1" w:noHBand="0" w:noVBand="0"/>
      </w:tblPr>
      <w:tblGrid>
        <w:gridCol w:w="8640"/>
      </w:tblGrid>
      <w:tr w:rsidR="00C8423A" w:rsidRPr="003927B5" w14:paraId="3CA33060" w14:textId="77777777" w:rsidTr="009F4EA0">
        <w:tc>
          <w:tcPr>
            <w:tcW w:w="8640" w:type="dxa"/>
            <w:shd w:val="clear" w:color="auto" w:fill="F2F2F2" w:themeFill="background1" w:themeFillShade="F2"/>
          </w:tcPr>
          <w:p w14:paraId="587932F0" w14:textId="77777777" w:rsidR="003927B5" w:rsidRPr="003927B5" w:rsidRDefault="003927B5" w:rsidP="005C56BD">
            <w:pPr>
              <w:jc w:val="both"/>
              <w:rPr>
                <w:rFonts w:ascii="Arial" w:hAnsi="Arial" w:cs="Arial"/>
                <w:bCs/>
                <w:i/>
                <w:iCs/>
                <w:sz w:val="22"/>
                <w:szCs w:val="22"/>
                <w:lang w:val="en-US"/>
              </w:rPr>
            </w:pPr>
            <w:r w:rsidRPr="003927B5">
              <w:rPr>
                <w:rFonts w:ascii="Arial" w:hAnsi="Arial" w:cs="Arial"/>
                <w:bCs/>
                <w:i/>
                <w:iCs/>
                <w:sz w:val="22"/>
                <w:szCs w:val="22"/>
                <w:lang w:val="en-US"/>
              </w:rPr>
              <w:t>Paper</w:t>
            </w:r>
          </w:p>
          <w:p w14:paraId="3F7D1534" w14:textId="6B37D87D" w:rsidR="00C8423A" w:rsidRPr="003927B5" w:rsidRDefault="006C1BB1" w:rsidP="005C56BD">
            <w:pPr>
              <w:jc w:val="both"/>
              <w:rPr>
                <w:rFonts w:ascii="Arial" w:hAnsi="Arial" w:cs="Arial"/>
                <w:b/>
                <w:bCs/>
                <w:sz w:val="22"/>
                <w:szCs w:val="22"/>
              </w:rPr>
            </w:pPr>
            <w:r w:rsidRPr="003927B5">
              <w:rPr>
                <w:rFonts w:ascii="Arial" w:hAnsi="Arial" w:cs="Arial"/>
                <w:b/>
                <w:sz w:val="22"/>
                <w:szCs w:val="22"/>
                <w:lang w:val="en-US"/>
              </w:rPr>
              <w:t>Climate adaptation in aquatic food systems: Co-benefits, trade-offs, and policy considerations</w:t>
            </w:r>
            <w:r w:rsidRPr="003927B5">
              <w:rPr>
                <w:rFonts w:ascii="Arial" w:hAnsi="Arial" w:cs="Arial"/>
                <w:b/>
                <w:sz w:val="22"/>
                <w:szCs w:val="22"/>
                <w:lang w:val="en-US"/>
              </w:rPr>
              <w:br/>
            </w:r>
          </w:p>
        </w:tc>
      </w:tr>
      <w:tr w:rsidR="00C8423A" w:rsidRPr="0003525D" w14:paraId="1A1C8C63" w14:textId="77777777" w:rsidTr="009F4EA0">
        <w:trPr>
          <w:trHeight w:val="3124"/>
        </w:trPr>
        <w:tc>
          <w:tcPr>
            <w:tcW w:w="8640" w:type="dxa"/>
          </w:tcPr>
          <w:p w14:paraId="131A5F05" w14:textId="77777777" w:rsidR="0065012F" w:rsidRPr="00C15E80" w:rsidRDefault="0065012F" w:rsidP="00706DED">
            <w:pPr>
              <w:jc w:val="both"/>
              <w:rPr>
                <w:rFonts w:ascii="Arial" w:hAnsi="Arial" w:cs="Arial"/>
                <w:b/>
              </w:rPr>
            </w:pPr>
            <w:r w:rsidRPr="00C15E80">
              <w:rPr>
                <w:rFonts w:ascii="Arial" w:hAnsi="Arial" w:cs="Arial"/>
                <w:b/>
              </w:rPr>
              <w:t>Introduction</w:t>
            </w:r>
          </w:p>
          <w:p w14:paraId="4806BFDB" w14:textId="1F32DC30" w:rsidR="0065012F" w:rsidRPr="00C15E80" w:rsidRDefault="005C56BD" w:rsidP="00706DED">
            <w:pPr>
              <w:jc w:val="both"/>
              <w:rPr>
                <w:rFonts w:ascii="Arial" w:hAnsi="Arial" w:cs="Arial"/>
                <w:bCs/>
                <w:lang w:val="en-US"/>
              </w:rPr>
            </w:pPr>
            <w:r w:rsidRPr="00C15E80">
              <w:rPr>
                <w:rFonts w:ascii="Arial" w:hAnsi="Arial" w:cs="Arial"/>
                <w:bCs/>
                <w:lang w:val="en-US"/>
              </w:rPr>
              <w:t>Aquatic foods – foods derived from aquatic animals, plants, or algae that are caught or cultivated in freshwater and marine environments – play a critical role in global food systems. They support the livelihoods of an estimated 600 million people, and for many are a primary source of protein and essential micronutrients that cannot be easily replaced by land-based alternatives</w:t>
            </w:r>
            <w:r w:rsidR="00C15E80" w:rsidRPr="00C15E80">
              <w:rPr>
                <w:rFonts w:ascii="Arial" w:hAnsi="Arial" w:cs="Arial"/>
                <w:bCs/>
                <w:vertAlign w:val="superscript"/>
                <w:lang w:val="en-US"/>
              </w:rPr>
              <w:t>1</w:t>
            </w:r>
            <w:r w:rsidRPr="00C15E80">
              <w:rPr>
                <w:rFonts w:ascii="Arial" w:hAnsi="Arial" w:cs="Arial"/>
                <w:bCs/>
                <w:lang w:val="en-US"/>
              </w:rPr>
              <w:t xml:space="preserve">. </w:t>
            </w:r>
            <w:r w:rsidRPr="008A354A">
              <w:rPr>
                <w:rFonts w:ascii="Arial" w:hAnsi="Arial" w:cs="Arial"/>
                <w:bCs/>
                <w:lang w:val="en-US"/>
              </w:rPr>
              <w:t xml:space="preserve">Climate change poses severe challenges to </w:t>
            </w:r>
            <w:r w:rsidRPr="00C15E80">
              <w:rPr>
                <w:rFonts w:ascii="Arial" w:hAnsi="Arial" w:cs="Arial"/>
                <w:bCs/>
                <w:lang w:val="en-US"/>
              </w:rPr>
              <w:t>aquatic</w:t>
            </w:r>
            <w:r w:rsidRPr="008A354A">
              <w:rPr>
                <w:rFonts w:ascii="Arial" w:hAnsi="Arial" w:cs="Arial"/>
                <w:bCs/>
                <w:lang w:val="en-US"/>
              </w:rPr>
              <w:t xml:space="preserve"> food </w:t>
            </w:r>
            <w:r w:rsidRPr="00C15E80">
              <w:rPr>
                <w:rFonts w:ascii="Arial" w:hAnsi="Arial" w:cs="Arial"/>
                <w:bCs/>
                <w:lang w:val="en-US"/>
              </w:rPr>
              <w:t>production, and threatens their vital contributions, especially in already vulnerable countries across Africa, South and South-East Asia, the Indo-Pacific, and Large Ocean States</w:t>
            </w:r>
            <w:r w:rsidR="00C15E80" w:rsidRPr="00C15E80">
              <w:rPr>
                <w:rFonts w:ascii="Arial" w:hAnsi="Arial" w:cs="Arial"/>
                <w:bCs/>
                <w:vertAlign w:val="superscript"/>
                <w:lang w:val="en-US"/>
              </w:rPr>
              <w:t>2</w:t>
            </w:r>
            <w:r w:rsidRPr="00C15E80">
              <w:rPr>
                <w:rFonts w:ascii="Arial" w:hAnsi="Arial" w:cs="Arial"/>
                <w:bCs/>
                <w:lang w:val="en-US"/>
              </w:rPr>
              <w:t>. However, within the large diversity of aquatic food species, actors, production methods, and socio-political contexts, much is still unknown about the opportunities for and limitations to climate adaptation.</w:t>
            </w:r>
          </w:p>
          <w:p w14:paraId="7B6246C6" w14:textId="77777777" w:rsidR="005C56BD" w:rsidRPr="00C15E80" w:rsidRDefault="005C56BD" w:rsidP="00706DED">
            <w:pPr>
              <w:jc w:val="both"/>
              <w:rPr>
                <w:rFonts w:ascii="Arial" w:hAnsi="Arial" w:cs="Arial"/>
                <w:b/>
              </w:rPr>
            </w:pPr>
          </w:p>
          <w:p w14:paraId="5DE13B32" w14:textId="77777777" w:rsidR="0065012F" w:rsidRPr="00C15E80" w:rsidRDefault="0065012F" w:rsidP="00706DED">
            <w:pPr>
              <w:jc w:val="both"/>
              <w:rPr>
                <w:rFonts w:ascii="Arial" w:hAnsi="Arial" w:cs="Arial"/>
                <w:b/>
              </w:rPr>
            </w:pPr>
            <w:r w:rsidRPr="00C15E80">
              <w:rPr>
                <w:rFonts w:ascii="Arial" w:hAnsi="Arial" w:cs="Arial"/>
                <w:b/>
              </w:rPr>
              <w:t>Objectives</w:t>
            </w:r>
          </w:p>
          <w:p w14:paraId="4EF63301" w14:textId="77777777" w:rsidR="00A71B5F" w:rsidRPr="00C15E80" w:rsidRDefault="005C56BD" w:rsidP="00706DED">
            <w:pPr>
              <w:jc w:val="both"/>
              <w:rPr>
                <w:rFonts w:ascii="Arial" w:hAnsi="Arial" w:cs="Arial"/>
                <w:bCs/>
              </w:rPr>
            </w:pPr>
            <w:r w:rsidRPr="00C15E80">
              <w:rPr>
                <w:rFonts w:ascii="Arial" w:hAnsi="Arial" w:cs="Arial"/>
                <w:bCs/>
              </w:rPr>
              <w:t xml:space="preserve">The objectives of this research </w:t>
            </w:r>
            <w:r w:rsidR="00A71B5F" w:rsidRPr="00C15E80">
              <w:rPr>
                <w:rFonts w:ascii="Arial" w:hAnsi="Arial" w:cs="Arial"/>
                <w:bCs/>
              </w:rPr>
              <w:t>a</w:t>
            </w:r>
            <w:r w:rsidRPr="00C15E80">
              <w:rPr>
                <w:rFonts w:ascii="Arial" w:hAnsi="Arial" w:cs="Arial"/>
                <w:bCs/>
              </w:rPr>
              <w:t xml:space="preserve">re threefold: </w:t>
            </w:r>
          </w:p>
          <w:p w14:paraId="54F3CBD1" w14:textId="0C7B9AC7" w:rsidR="00A71B5F" w:rsidRPr="00C15E80" w:rsidRDefault="005C56BD" w:rsidP="00A71B5F">
            <w:pPr>
              <w:pStyle w:val="ListParagraph"/>
              <w:numPr>
                <w:ilvl w:val="0"/>
                <w:numId w:val="5"/>
              </w:numPr>
              <w:jc w:val="both"/>
              <w:rPr>
                <w:rFonts w:ascii="Arial" w:hAnsi="Arial" w:cs="Arial"/>
                <w:bCs/>
              </w:rPr>
            </w:pPr>
            <w:r w:rsidRPr="00C15E80">
              <w:rPr>
                <w:rFonts w:ascii="Arial" w:hAnsi="Arial" w:cs="Arial"/>
                <w:bCs/>
              </w:rPr>
              <w:t xml:space="preserve">to understand </w:t>
            </w:r>
            <w:r w:rsidR="00A71B5F" w:rsidRPr="00C15E80">
              <w:rPr>
                <w:rFonts w:ascii="Arial" w:hAnsi="Arial" w:cs="Arial"/>
                <w:bCs/>
              </w:rPr>
              <w:t xml:space="preserve">the range of multi-scalar adaptation options that exist for aquatic foods and what their potential </w:t>
            </w:r>
            <w:r w:rsidR="005C632B">
              <w:rPr>
                <w:rFonts w:ascii="Arial" w:hAnsi="Arial" w:cs="Arial"/>
                <w:bCs/>
              </w:rPr>
              <w:t>co-benefits</w:t>
            </w:r>
            <w:r w:rsidR="00A71B5F" w:rsidRPr="00C15E80">
              <w:rPr>
                <w:rFonts w:ascii="Arial" w:hAnsi="Arial" w:cs="Arial"/>
                <w:bCs/>
              </w:rPr>
              <w:t xml:space="preserve"> and trade-offs are with sustainable development outcomes</w:t>
            </w:r>
            <w:r w:rsidR="00E12260" w:rsidRPr="00A71B5F">
              <w:rPr>
                <w:rFonts w:ascii="Arial" w:hAnsi="Arial" w:cs="Arial"/>
                <w:bCs/>
                <w:lang w:val="en-US"/>
              </w:rPr>
              <w:t>, such as nutrition, equitable livelihoods, and biodiversity</w:t>
            </w:r>
            <w:r w:rsidR="00B23026" w:rsidRPr="00C15E80">
              <w:rPr>
                <w:rFonts w:ascii="Arial" w:hAnsi="Arial" w:cs="Arial"/>
                <w:bCs/>
              </w:rPr>
              <w:t>;</w:t>
            </w:r>
          </w:p>
          <w:p w14:paraId="40663265" w14:textId="2E6802B2" w:rsidR="00A71B5F" w:rsidRPr="00C15E80" w:rsidRDefault="00A71B5F" w:rsidP="00A71B5F">
            <w:pPr>
              <w:pStyle w:val="ListParagraph"/>
              <w:numPr>
                <w:ilvl w:val="0"/>
                <w:numId w:val="5"/>
              </w:numPr>
              <w:jc w:val="both"/>
              <w:rPr>
                <w:rFonts w:ascii="Arial" w:hAnsi="Arial" w:cs="Arial"/>
                <w:bCs/>
              </w:rPr>
            </w:pPr>
            <w:r w:rsidRPr="00C15E80">
              <w:rPr>
                <w:rFonts w:ascii="Arial" w:hAnsi="Arial" w:cs="Arial"/>
                <w:bCs/>
              </w:rPr>
              <w:t>to assess the extent to which climate adaptation objectives for aquatic foods – and their trade-offs – are currently included in countries’ climate and sectoral strategies</w:t>
            </w:r>
            <w:r w:rsidR="00B23026" w:rsidRPr="00C15E80">
              <w:rPr>
                <w:rFonts w:ascii="Arial" w:hAnsi="Arial" w:cs="Arial"/>
                <w:bCs/>
              </w:rPr>
              <w:t>;</w:t>
            </w:r>
          </w:p>
          <w:p w14:paraId="7DF7D437" w14:textId="1C07D5B9" w:rsidR="0065012F" w:rsidRPr="00C15E80" w:rsidRDefault="00A71B5F" w:rsidP="00A71B5F">
            <w:pPr>
              <w:pStyle w:val="ListParagraph"/>
              <w:numPr>
                <w:ilvl w:val="0"/>
                <w:numId w:val="5"/>
              </w:numPr>
              <w:jc w:val="both"/>
              <w:rPr>
                <w:rFonts w:ascii="Arial" w:hAnsi="Arial" w:cs="Arial"/>
                <w:bCs/>
              </w:rPr>
            </w:pPr>
            <w:r w:rsidRPr="00C15E80">
              <w:rPr>
                <w:rFonts w:ascii="Arial" w:hAnsi="Arial" w:cs="Arial"/>
                <w:bCs/>
              </w:rPr>
              <w:t xml:space="preserve">to </w:t>
            </w:r>
            <w:r w:rsidR="00B23026" w:rsidRPr="00C15E80">
              <w:rPr>
                <w:rFonts w:ascii="Arial" w:hAnsi="Arial" w:cs="Arial"/>
                <w:bCs/>
              </w:rPr>
              <w:t>explore how data on aquatic food production, use, and climate risks can be used to identify</w:t>
            </w:r>
            <w:r w:rsidRPr="00A71B5F">
              <w:rPr>
                <w:rFonts w:ascii="Arial" w:hAnsi="Arial" w:cs="Arial"/>
                <w:bCs/>
                <w:lang w:val="en-US"/>
              </w:rPr>
              <w:t xml:space="preserve"> adaptation priorities alongside other sectoral ob</w:t>
            </w:r>
            <w:r w:rsidR="00B23026" w:rsidRPr="00C15E80">
              <w:rPr>
                <w:rFonts w:ascii="Arial" w:hAnsi="Arial" w:cs="Arial"/>
                <w:bCs/>
                <w:lang w:val="en-US"/>
              </w:rPr>
              <w:t>jec</w:t>
            </w:r>
            <w:r w:rsidRPr="00A71B5F">
              <w:rPr>
                <w:rFonts w:ascii="Arial" w:hAnsi="Arial" w:cs="Arial"/>
                <w:bCs/>
                <w:lang w:val="en-US"/>
              </w:rPr>
              <w:t>tives</w:t>
            </w:r>
            <w:r w:rsidR="00B23026" w:rsidRPr="00C15E80">
              <w:rPr>
                <w:rFonts w:ascii="Arial" w:hAnsi="Arial" w:cs="Arial"/>
                <w:bCs/>
                <w:lang w:val="en-US"/>
              </w:rPr>
              <w:t xml:space="preserve"> in diverse</w:t>
            </w:r>
            <w:r w:rsidR="00B23026" w:rsidRPr="00A71B5F">
              <w:rPr>
                <w:rFonts w:ascii="Arial" w:hAnsi="Arial" w:cs="Arial"/>
                <w:bCs/>
                <w:lang w:val="en-US"/>
              </w:rPr>
              <w:t xml:space="preserve"> aquatic foods</w:t>
            </w:r>
            <w:r w:rsidR="00B23026" w:rsidRPr="00C15E80">
              <w:rPr>
                <w:rFonts w:ascii="Arial" w:hAnsi="Arial" w:cs="Arial"/>
                <w:bCs/>
                <w:lang w:val="en-US"/>
              </w:rPr>
              <w:t xml:space="preserve"> contexts</w:t>
            </w:r>
          </w:p>
          <w:p w14:paraId="39418E09" w14:textId="77777777" w:rsidR="005C56BD" w:rsidRPr="00C15E80" w:rsidRDefault="005C56BD" w:rsidP="00706DED">
            <w:pPr>
              <w:jc w:val="both"/>
              <w:rPr>
                <w:rFonts w:ascii="Arial" w:hAnsi="Arial" w:cs="Arial"/>
                <w:bCs/>
              </w:rPr>
            </w:pPr>
          </w:p>
          <w:p w14:paraId="457D2D05" w14:textId="4552866C" w:rsidR="0065012F" w:rsidRPr="00C15E80" w:rsidRDefault="00906B39" w:rsidP="00706DED">
            <w:pPr>
              <w:jc w:val="both"/>
              <w:rPr>
                <w:rFonts w:ascii="Arial" w:hAnsi="Arial" w:cs="Arial"/>
                <w:b/>
              </w:rPr>
            </w:pPr>
            <w:r w:rsidRPr="00C15E80">
              <w:rPr>
                <w:rFonts w:ascii="Arial" w:hAnsi="Arial" w:cs="Arial"/>
                <w:b/>
              </w:rPr>
              <w:t>Methodology</w:t>
            </w:r>
          </w:p>
          <w:p w14:paraId="4CE89952" w14:textId="0F253807" w:rsidR="00E12260" w:rsidRPr="00C15E80" w:rsidRDefault="00B23026" w:rsidP="00481297">
            <w:pPr>
              <w:jc w:val="both"/>
              <w:rPr>
                <w:rFonts w:ascii="Arial" w:hAnsi="Arial" w:cs="Arial"/>
                <w:bCs/>
                <w:lang w:val="en-US"/>
              </w:rPr>
            </w:pPr>
            <w:r w:rsidRPr="00C15E80">
              <w:rPr>
                <w:rFonts w:ascii="Arial" w:hAnsi="Arial" w:cs="Arial"/>
                <w:bCs/>
                <w:lang w:val="en-US"/>
              </w:rPr>
              <w:t>We conduct</w:t>
            </w:r>
            <w:r w:rsidR="00A71B5F" w:rsidRPr="00A71B5F">
              <w:rPr>
                <w:rFonts w:ascii="Arial" w:hAnsi="Arial" w:cs="Arial"/>
                <w:bCs/>
                <w:lang w:val="en-US"/>
              </w:rPr>
              <w:t xml:space="preserve"> a scoping literature review </w:t>
            </w:r>
            <w:r w:rsidR="00481297" w:rsidRPr="00C15E80">
              <w:rPr>
                <w:rFonts w:ascii="Arial" w:hAnsi="Arial" w:cs="Arial"/>
                <w:bCs/>
                <w:lang w:val="en-US"/>
              </w:rPr>
              <w:t xml:space="preserve">and </w:t>
            </w:r>
            <w:r w:rsidR="00481297" w:rsidRPr="00C15E80">
              <w:rPr>
                <w:rFonts w:ascii="Arial" w:hAnsi="Arial" w:cs="Arial"/>
                <w:bCs/>
                <w:lang w:val="en-GB"/>
              </w:rPr>
              <w:t xml:space="preserve">apply qualitative content analysis to categorize adaptation pathways and </w:t>
            </w:r>
            <w:r w:rsidR="00A71B5F" w:rsidRPr="00A71B5F">
              <w:rPr>
                <w:rFonts w:ascii="Arial" w:hAnsi="Arial" w:cs="Arial"/>
                <w:bCs/>
                <w:lang w:val="en-US"/>
              </w:rPr>
              <w:t>document the</w:t>
            </w:r>
            <w:r w:rsidR="00481297" w:rsidRPr="00C15E80">
              <w:rPr>
                <w:rFonts w:ascii="Arial" w:hAnsi="Arial" w:cs="Arial"/>
                <w:bCs/>
                <w:lang w:val="en-US"/>
              </w:rPr>
              <w:t>ir</w:t>
            </w:r>
            <w:r w:rsidR="00A71B5F" w:rsidRPr="00A71B5F">
              <w:rPr>
                <w:rFonts w:ascii="Arial" w:hAnsi="Arial" w:cs="Arial"/>
                <w:bCs/>
                <w:lang w:val="en-US"/>
              </w:rPr>
              <w:t xml:space="preserve"> potential, evidence strength, </w:t>
            </w:r>
            <w:r w:rsidR="00481297" w:rsidRPr="00C15E80">
              <w:rPr>
                <w:rFonts w:ascii="Arial" w:hAnsi="Arial" w:cs="Arial"/>
                <w:bCs/>
                <w:lang w:val="en-US"/>
              </w:rPr>
              <w:t>and co-benefits and trade-offs</w:t>
            </w:r>
            <w:r w:rsidR="00A71B5F" w:rsidRPr="00A71B5F">
              <w:rPr>
                <w:rFonts w:ascii="Arial" w:hAnsi="Arial" w:cs="Arial"/>
                <w:bCs/>
                <w:lang w:val="en-US"/>
              </w:rPr>
              <w:t>.</w:t>
            </w:r>
            <w:r w:rsidR="00481297" w:rsidRPr="00C15E80">
              <w:rPr>
                <w:rFonts w:ascii="Arial" w:hAnsi="Arial" w:cs="Arial"/>
                <w:bCs/>
                <w:lang w:val="en-US"/>
              </w:rPr>
              <w:t xml:space="preserve"> For policies, we conduct a summative keyword analysis and qualitative content analysis on countries’ latest nationally determined contributions and fisheries and aquaculture policies</w:t>
            </w:r>
            <w:r w:rsidR="00C15E80" w:rsidRPr="00C15E80">
              <w:rPr>
                <w:rFonts w:ascii="Arial" w:hAnsi="Arial" w:cs="Arial"/>
                <w:bCs/>
                <w:vertAlign w:val="superscript"/>
                <w:lang w:val="en-US"/>
              </w:rPr>
              <w:t>3</w:t>
            </w:r>
            <w:r w:rsidR="00481297" w:rsidRPr="00C15E80">
              <w:rPr>
                <w:rFonts w:ascii="Arial" w:hAnsi="Arial" w:cs="Arial"/>
                <w:bCs/>
                <w:lang w:val="en-US"/>
              </w:rPr>
              <w:t xml:space="preserve">. Finally, we use existing databases on aquatic food production, use, and climate risk (e.g., ARTIS, AFCD, </w:t>
            </w:r>
            <w:proofErr w:type="spellStart"/>
            <w:r w:rsidR="00481297" w:rsidRPr="00C15E80">
              <w:rPr>
                <w:rFonts w:ascii="Arial" w:hAnsi="Arial" w:cs="Arial"/>
                <w:bCs/>
                <w:lang w:val="en-US"/>
              </w:rPr>
              <w:t>FishMIP</w:t>
            </w:r>
            <w:proofErr w:type="spellEnd"/>
            <w:r w:rsidR="00481297" w:rsidRPr="00C15E80">
              <w:rPr>
                <w:rFonts w:ascii="Arial" w:hAnsi="Arial" w:cs="Arial"/>
                <w:bCs/>
                <w:lang w:val="en-US"/>
              </w:rPr>
              <w:t>) and key stakeholder interviews to identify adaptation priorities in five case study regions: Ghana, Indonesia, Mexico, Pacific Islands, and Vietnam</w:t>
            </w:r>
            <w:r w:rsidR="00E12260" w:rsidRPr="00A71B5F">
              <w:rPr>
                <w:rFonts w:ascii="Arial" w:hAnsi="Arial" w:cs="Arial"/>
                <w:bCs/>
                <w:lang w:val="en-US"/>
              </w:rPr>
              <w:t xml:space="preserve">. </w:t>
            </w:r>
          </w:p>
          <w:p w14:paraId="2AA04D4F" w14:textId="77777777" w:rsidR="00A71B5F" w:rsidRPr="00C15E80" w:rsidRDefault="00A71B5F" w:rsidP="00706DED">
            <w:pPr>
              <w:jc w:val="both"/>
              <w:rPr>
                <w:rFonts w:ascii="Arial" w:hAnsi="Arial" w:cs="Arial"/>
                <w:b/>
              </w:rPr>
            </w:pPr>
          </w:p>
          <w:p w14:paraId="62DAA8AE" w14:textId="77777777" w:rsidR="0065012F" w:rsidRPr="00C15E80" w:rsidRDefault="0065012F" w:rsidP="00706DED">
            <w:pPr>
              <w:jc w:val="both"/>
              <w:rPr>
                <w:rFonts w:ascii="Arial" w:hAnsi="Arial" w:cs="Arial"/>
                <w:b/>
              </w:rPr>
            </w:pPr>
            <w:r w:rsidRPr="00C15E80">
              <w:rPr>
                <w:rFonts w:ascii="Arial" w:hAnsi="Arial" w:cs="Arial"/>
                <w:b/>
              </w:rPr>
              <w:t>Findings</w:t>
            </w:r>
          </w:p>
          <w:p w14:paraId="26DC99F1" w14:textId="5AFE4FB9" w:rsidR="0065012F" w:rsidRPr="00C15E80" w:rsidRDefault="00A71B5F" w:rsidP="00706DED">
            <w:pPr>
              <w:jc w:val="both"/>
              <w:rPr>
                <w:rFonts w:ascii="Arial" w:hAnsi="Arial" w:cs="Arial"/>
                <w:bCs/>
                <w:lang w:val="en-CA"/>
              </w:rPr>
            </w:pPr>
            <w:r w:rsidRPr="00C15E80">
              <w:rPr>
                <w:rFonts w:ascii="Arial" w:hAnsi="Arial" w:cs="Arial"/>
                <w:bCs/>
                <w:lang w:val="en-US"/>
              </w:rPr>
              <w:t xml:space="preserve">We </w:t>
            </w:r>
            <w:r w:rsidR="00B23026" w:rsidRPr="00C15E80">
              <w:rPr>
                <w:rFonts w:ascii="Arial" w:hAnsi="Arial" w:cs="Arial"/>
                <w:bCs/>
                <w:lang w:val="en-US"/>
              </w:rPr>
              <w:t xml:space="preserve">identify 12 high-level adaptation solutions </w:t>
            </w:r>
            <w:r w:rsidRPr="00A71B5F">
              <w:rPr>
                <w:rFonts w:ascii="Arial" w:hAnsi="Arial" w:cs="Arial"/>
                <w:bCs/>
                <w:lang w:val="en-US"/>
              </w:rPr>
              <w:t xml:space="preserve">from farm/boat to food system to ecosystem scale. </w:t>
            </w:r>
            <w:r w:rsidR="00342688" w:rsidRPr="00C15E80">
              <w:rPr>
                <w:rFonts w:ascii="Arial" w:hAnsi="Arial" w:cs="Arial"/>
                <w:bCs/>
                <w:lang w:val="en-US"/>
              </w:rPr>
              <w:t>Our review highlights strong co-benefits between most adaptation pathways and several sustainable development outcomes</w:t>
            </w:r>
            <w:r w:rsidR="00342688" w:rsidRPr="00A71B5F">
              <w:rPr>
                <w:rFonts w:ascii="Arial" w:hAnsi="Arial" w:cs="Arial"/>
                <w:bCs/>
                <w:lang w:val="en-US"/>
              </w:rPr>
              <w:t>, yet quantification and verification of adaptation effectiveness</w:t>
            </w:r>
            <w:r w:rsidR="00342688" w:rsidRPr="00C15E80">
              <w:rPr>
                <w:rFonts w:ascii="Arial" w:hAnsi="Arial" w:cs="Arial"/>
                <w:bCs/>
                <w:lang w:val="en-US"/>
              </w:rPr>
              <w:t xml:space="preserve"> is often lacking. </w:t>
            </w:r>
            <w:r w:rsidR="00E12260" w:rsidRPr="00C15E80">
              <w:rPr>
                <w:rFonts w:ascii="Arial" w:hAnsi="Arial" w:cs="Arial"/>
                <w:bCs/>
                <w:lang w:val="en-CA"/>
              </w:rPr>
              <w:t xml:space="preserve">Out of the 167 active nationally determined contributions submitted as of 31 December 2023, around 59 percent referred to adaptation in fisheries and aquaculture, including ocean and coastal zone management. However, there is a lack of coherence between climate and sectoral strategies, with most fisheries and aquaculture policies focusing primarily on economic and ecological objectives. </w:t>
            </w:r>
            <w:r w:rsidRPr="00A71B5F">
              <w:rPr>
                <w:rFonts w:ascii="Arial" w:hAnsi="Arial" w:cs="Arial"/>
                <w:bCs/>
                <w:lang w:val="en-US"/>
              </w:rPr>
              <w:t xml:space="preserve">Our </w:t>
            </w:r>
            <w:r w:rsidR="00E12260" w:rsidRPr="00C15E80">
              <w:rPr>
                <w:rFonts w:ascii="Arial" w:hAnsi="Arial" w:cs="Arial"/>
                <w:bCs/>
                <w:lang w:val="en-US"/>
              </w:rPr>
              <w:t>literature review and case study analyses</w:t>
            </w:r>
            <w:r w:rsidRPr="00A71B5F">
              <w:rPr>
                <w:rFonts w:ascii="Arial" w:hAnsi="Arial" w:cs="Arial"/>
                <w:bCs/>
                <w:lang w:val="en-US"/>
              </w:rPr>
              <w:t xml:space="preserve"> support evidence-based development of national climate strategies for and through aquatic foods</w:t>
            </w:r>
            <w:r w:rsidR="00E12260" w:rsidRPr="00C15E80">
              <w:rPr>
                <w:rFonts w:ascii="Arial" w:hAnsi="Arial" w:cs="Arial"/>
                <w:bCs/>
                <w:lang w:val="en-US"/>
              </w:rPr>
              <w:t xml:space="preserve"> in diverse contexts.</w:t>
            </w:r>
          </w:p>
          <w:p w14:paraId="4789C983" w14:textId="77777777" w:rsidR="00A71B5F" w:rsidRPr="00C15E80" w:rsidRDefault="00A71B5F" w:rsidP="00706DED">
            <w:pPr>
              <w:jc w:val="both"/>
              <w:rPr>
                <w:rFonts w:ascii="Arial" w:hAnsi="Arial" w:cs="Arial"/>
                <w:b/>
              </w:rPr>
            </w:pPr>
          </w:p>
          <w:p w14:paraId="261EC656" w14:textId="2669F05C" w:rsidR="00C8423A" w:rsidRPr="00C15E80" w:rsidRDefault="0065012F" w:rsidP="00706DED">
            <w:pPr>
              <w:jc w:val="both"/>
              <w:rPr>
                <w:rFonts w:ascii="Arial" w:hAnsi="Arial" w:cs="Arial"/>
                <w:b/>
              </w:rPr>
            </w:pPr>
            <w:r w:rsidRPr="00C15E80">
              <w:rPr>
                <w:rFonts w:ascii="Arial" w:hAnsi="Arial" w:cs="Arial"/>
                <w:b/>
              </w:rPr>
              <w:t xml:space="preserve">Significance of the work for policy and practice </w:t>
            </w:r>
          </w:p>
          <w:p w14:paraId="43CB2428" w14:textId="57A03ECB" w:rsidR="00BE58D6" w:rsidRPr="00C15E80" w:rsidRDefault="00B23026" w:rsidP="00706DED">
            <w:pPr>
              <w:jc w:val="both"/>
              <w:rPr>
                <w:rFonts w:ascii="Arial" w:hAnsi="Arial" w:cs="Arial"/>
                <w:bCs/>
              </w:rPr>
            </w:pPr>
            <w:r w:rsidRPr="00C15E80">
              <w:rPr>
                <w:rFonts w:ascii="Arial" w:hAnsi="Arial" w:cs="Arial"/>
                <w:bCs/>
              </w:rPr>
              <w:t xml:space="preserve">The results of this work are being used to engage with decision makers in the UNFCCC climate negotiations and at national level to advise on inclusion of aquatic foods into global and national climate strategies, in particular countries’ Nationally Determined Contributions, which are due in 2025. Last year, project partners turned preliminary findings into </w:t>
            </w:r>
            <w:r w:rsidRPr="000479DA">
              <w:rPr>
                <w:rFonts w:ascii="Arial" w:hAnsi="Arial" w:cs="Arial"/>
                <w:bCs/>
              </w:rPr>
              <w:t>guidelines</w:t>
            </w:r>
            <w:r w:rsidR="000479DA" w:rsidRPr="000479DA">
              <w:rPr>
                <w:rFonts w:ascii="Arial" w:hAnsi="Arial" w:cs="Arial"/>
                <w:bCs/>
                <w:vertAlign w:val="superscript"/>
              </w:rPr>
              <w:t>4</w:t>
            </w:r>
            <w:r w:rsidRPr="00C15E80">
              <w:rPr>
                <w:rFonts w:ascii="Arial" w:hAnsi="Arial" w:cs="Arial"/>
                <w:bCs/>
              </w:rPr>
              <w:t xml:space="preserve"> that have been widely shared amongst policy makers and practitioners.</w:t>
            </w:r>
          </w:p>
          <w:p w14:paraId="4D7B65A8" w14:textId="77777777" w:rsidR="00BE58D6" w:rsidRPr="00C15E80" w:rsidRDefault="00BE58D6" w:rsidP="00706DED">
            <w:pPr>
              <w:jc w:val="both"/>
              <w:rPr>
                <w:rFonts w:ascii="Arial" w:hAnsi="Arial" w:cs="Arial"/>
                <w:b/>
              </w:rPr>
            </w:pPr>
          </w:p>
          <w:p w14:paraId="08F59537" w14:textId="77777777" w:rsidR="00C15E80" w:rsidRPr="00C15E80" w:rsidRDefault="00C15E80" w:rsidP="00706DED">
            <w:pPr>
              <w:jc w:val="both"/>
              <w:rPr>
                <w:rFonts w:ascii="Arial" w:hAnsi="Arial" w:cs="Arial"/>
                <w:bCs/>
              </w:rPr>
            </w:pPr>
          </w:p>
          <w:p w14:paraId="01F7FB77" w14:textId="77777777" w:rsidR="00C15E80" w:rsidRPr="00C15E80" w:rsidRDefault="00C15E80" w:rsidP="00706DED">
            <w:pPr>
              <w:jc w:val="both"/>
              <w:rPr>
                <w:rFonts w:ascii="Arial" w:hAnsi="Arial" w:cs="Arial"/>
                <w:b/>
              </w:rPr>
            </w:pPr>
            <w:r w:rsidRPr="00C15E80">
              <w:rPr>
                <w:rFonts w:ascii="Arial" w:hAnsi="Arial" w:cs="Arial"/>
                <w:b/>
              </w:rPr>
              <w:t>References</w:t>
            </w:r>
          </w:p>
          <w:p w14:paraId="1984D5BF" w14:textId="6E059255" w:rsidR="00C15E80" w:rsidRPr="0003149A" w:rsidRDefault="00C15E80" w:rsidP="00706DED">
            <w:pPr>
              <w:jc w:val="both"/>
              <w:rPr>
                <w:rFonts w:ascii="Arial" w:hAnsi="Arial" w:cs="Arial"/>
                <w:bCs/>
                <w:sz w:val="18"/>
                <w:szCs w:val="18"/>
              </w:rPr>
            </w:pPr>
            <w:r w:rsidRPr="0003149A">
              <w:rPr>
                <w:rFonts w:ascii="Arial" w:hAnsi="Arial" w:cs="Arial"/>
                <w:bCs/>
                <w:sz w:val="18"/>
                <w:szCs w:val="18"/>
                <w:vertAlign w:val="superscript"/>
              </w:rPr>
              <w:t>1</w:t>
            </w:r>
            <w:r w:rsidRPr="0003149A">
              <w:rPr>
                <w:rFonts w:ascii="Arial" w:hAnsi="Arial" w:cs="Arial"/>
                <w:bCs/>
                <w:sz w:val="18"/>
                <w:szCs w:val="18"/>
              </w:rPr>
              <w:t xml:space="preserve"> </w:t>
            </w:r>
            <w:proofErr w:type="spellStart"/>
            <w:r w:rsidRPr="0003149A">
              <w:rPr>
                <w:rFonts w:ascii="Arial" w:hAnsi="Arial" w:cs="Arial"/>
                <w:color w:val="222222"/>
                <w:sz w:val="18"/>
                <w:szCs w:val="18"/>
                <w:shd w:val="clear" w:color="auto" w:fill="FFFFFF"/>
              </w:rPr>
              <w:t>Tigchelaar</w:t>
            </w:r>
            <w:proofErr w:type="spellEnd"/>
            <w:r w:rsidRPr="0003149A">
              <w:rPr>
                <w:rFonts w:ascii="Arial" w:hAnsi="Arial" w:cs="Arial"/>
                <w:color w:val="222222"/>
                <w:sz w:val="18"/>
                <w:szCs w:val="18"/>
                <w:shd w:val="clear" w:color="auto" w:fill="FFFFFF"/>
              </w:rPr>
              <w:t>, Michelle, Jim Leape, Fiorenza Micheli, Edward H. Allison, Xavier Basurto, Abigail Bennett, Simon R. Bush et al. "The vital roles of blue foods in the global food system." </w:t>
            </w:r>
            <w:r w:rsidRPr="0003149A">
              <w:rPr>
                <w:rFonts w:ascii="Arial" w:hAnsi="Arial" w:cs="Arial"/>
                <w:i/>
                <w:iCs/>
                <w:color w:val="222222"/>
                <w:sz w:val="18"/>
                <w:szCs w:val="18"/>
                <w:shd w:val="clear" w:color="auto" w:fill="FFFFFF"/>
              </w:rPr>
              <w:t>Global Food Security</w:t>
            </w:r>
            <w:r w:rsidRPr="0003149A">
              <w:rPr>
                <w:rFonts w:ascii="Arial" w:hAnsi="Arial" w:cs="Arial"/>
                <w:color w:val="222222"/>
                <w:sz w:val="18"/>
                <w:szCs w:val="18"/>
                <w:shd w:val="clear" w:color="auto" w:fill="FFFFFF"/>
              </w:rPr>
              <w:t> 33 (2022): 100637.</w:t>
            </w:r>
          </w:p>
          <w:p w14:paraId="1B0BF7B3" w14:textId="18A421FB" w:rsidR="00C15E80" w:rsidRPr="0003149A" w:rsidRDefault="00C15E80" w:rsidP="00706DED">
            <w:pPr>
              <w:jc w:val="both"/>
              <w:rPr>
                <w:rFonts w:ascii="Arial" w:hAnsi="Arial" w:cs="Arial"/>
                <w:bCs/>
                <w:sz w:val="18"/>
                <w:szCs w:val="18"/>
              </w:rPr>
            </w:pPr>
            <w:r w:rsidRPr="0003149A">
              <w:rPr>
                <w:rFonts w:ascii="Arial" w:hAnsi="Arial" w:cs="Arial"/>
                <w:bCs/>
                <w:sz w:val="18"/>
                <w:szCs w:val="18"/>
                <w:vertAlign w:val="superscript"/>
              </w:rPr>
              <w:t>2</w:t>
            </w:r>
            <w:r w:rsidRPr="0003149A">
              <w:rPr>
                <w:rFonts w:ascii="Arial" w:hAnsi="Arial" w:cs="Arial"/>
                <w:bCs/>
                <w:sz w:val="18"/>
                <w:szCs w:val="18"/>
              </w:rPr>
              <w:t xml:space="preserve"> </w:t>
            </w:r>
            <w:r w:rsidRPr="0003149A">
              <w:rPr>
                <w:rFonts w:ascii="Arial" w:hAnsi="Arial" w:cs="Arial"/>
                <w:color w:val="222222"/>
                <w:sz w:val="18"/>
                <w:szCs w:val="18"/>
                <w:shd w:val="clear" w:color="auto" w:fill="FFFFFF"/>
              </w:rPr>
              <w:t>Tigchelaar, Michelle, William WL Cheung, Essam Yassin Mohammed, Michael J. Phillips, Hanna J. Payne, Elizabeth R. Selig, Colette CC Wabnitz et al. "Compound climate risks threaten aquatic food system benefits." </w:t>
            </w:r>
            <w:r w:rsidRPr="0003149A">
              <w:rPr>
                <w:rFonts w:ascii="Arial" w:hAnsi="Arial" w:cs="Arial"/>
                <w:i/>
                <w:iCs/>
                <w:color w:val="222222"/>
                <w:sz w:val="18"/>
                <w:szCs w:val="18"/>
                <w:shd w:val="clear" w:color="auto" w:fill="FFFFFF"/>
              </w:rPr>
              <w:t xml:space="preserve">Nature </w:t>
            </w:r>
            <w:r w:rsidR="000479DA" w:rsidRPr="0003149A">
              <w:rPr>
                <w:rFonts w:ascii="Arial" w:hAnsi="Arial" w:cs="Arial"/>
                <w:i/>
                <w:iCs/>
                <w:color w:val="222222"/>
                <w:sz w:val="18"/>
                <w:szCs w:val="18"/>
                <w:shd w:val="clear" w:color="auto" w:fill="FFFFFF"/>
              </w:rPr>
              <w:t>F</w:t>
            </w:r>
            <w:r w:rsidRPr="0003149A">
              <w:rPr>
                <w:rFonts w:ascii="Arial" w:hAnsi="Arial" w:cs="Arial"/>
                <w:i/>
                <w:iCs/>
                <w:color w:val="222222"/>
                <w:sz w:val="18"/>
                <w:szCs w:val="18"/>
                <w:shd w:val="clear" w:color="auto" w:fill="FFFFFF"/>
              </w:rPr>
              <w:t>ood</w:t>
            </w:r>
            <w:r w:rsidRPr="0003149A">
              <w:rPr>
                <w:rFonts w:ascii="Arial" w:hAnsi="Arial" w:cs="Arial"/>
                <w:color w:val="222222"/>
                <w:sz w:val="18"/>
                <w:szCs w:val="18"/>
                <w:shd w:val="clear" w:color="auto" w:fill="FFFFFF"/>
              </w:rPr>
              <w:t> 2, no. 9 (2021): 673-682.</w:t>
            </w:r>
          </w:p>
          <w:p w14:paraId="4730B74E" w14:textId="1B903B27" w:rsidR="00C15E80" w:rsidRPr="0003149A" w:rsidRDefault="00C15E80" w:rsidP="00706DED">
            <w:pPr>
              <w:jc w:val="both"/>
              <w:rPr>
                <w:rFonts w:ascii="Arial" w:hAnsi="Arial" w:cs="Arial"/>
                <w:color w:val="222222"/>
                <w:sz w:val="18"/>
                <w:szCs w:val="18"/>
                <w:shd w:val="clear" w:color="auto" w:fill="FFFFFF"/>
              </w:rPr>
            </w:pPr>
            <w:r w:rsidRPr="0003149A">
              <w:rPr>
                <w:rFonts w:ascii="Arial" w:hAnsi="Arial" w:cs="Arial"/>
                <w:bCs/>
                <w:sz w:val="18"/>
                <w:szCs w:val="18"/>
                <w:vertAlign w:val="superscript"/>
              </w:rPr>
              <w:t>3</w:t>
            </w:r>
            <w:r w:rsidRPr="0003149A">
              <w:rPr>
                <w:rFonts w:ascii="Arial" w:hAnsi="Arial" w:cs="Arial"/>
                <w:bCs/>
                <w:sz w:val="18"/>
                <w:szCs w:val="18"/>
              </w:rPr>
              <w:t xml:space="preserve"> </w:t>
            </w:r>
            <w:r w:rsidRPr="0003149A">
              <w:rPr>
                <w:rFonts w:ascii="Arial" w:hAnsi="Arial" w:cs="Arial"/>
                <w:color w:val="222222"/>
                <w:sz w:val="18"/>
                <w:szCs w:val="18"/>
                <w:shd w:val="clear" w:color="auto" w:fill="FFFFFF"/>
              </w:rPr>
              <w:t xml:space="preserve">Hicks, Christina C., Jessica A. Gephart, J. Zachary Koehn, Shinnosuke Nakayama, Hanna J. Payne, Edward H. Allison, </w:t>
            </w:r>
            <w:proofErr w:type="spellStart"/>
            <w:r w:rsidRPr="0003149A">
              <w:rPr>
                <w:rFonts w:ascii="Arial" w:hAnsi="Arial" w:cs="Arial"/>
                <w:color w:val="222222"/>
                <w:sz w:val="18"/>
                <w:szCs w:val="18"/>
                <w:shd w:val="clear" w:color="auto" w:fill="FFFFFF"/>
              </w:rPr>
              <w:t>Dyhia</w:t>
            </w:r>
            <w:proofErr w:type="spellEnd"/>
            <w:r w:rsidRPr="0003149A">
              <w:rPr>
                <w:rFonts w:ascii="Arial" w:hAnsi="Arial" w:cs="Arial"/>
                <w:color w:val="222222"/>
                <w:sz w:val="18"/>
                <w:szCs w:val="18"/>
                <w:shd w:val="clear" w:color="auto" w:fill="FFFFFF"/>
              </w:rPr>
              <w:t xml:space="preserve"> </w:t>
            </w:r>
            <w:proofErr w:type="spellStart"/>
            <w:r w:rsidRPr="0003149A">
              <w:rPr>
                <w:rFonts w:ascii="Arial" w:hAnsi="Arial" w:cs="Arial"/>
                <w:color w:val="222222"/>
                <w:sz w:val="18"/>
                <w:szCs w:val="18"/>
                <w:shd w:val="clear" w:color="auto" w:fill="FFFFFF"/>
              </w:rPr>
              <w:t>Belhbib</w:t>
            </w:r>
            <w:proofErr w:type="spellEnd"/>
            <w:r w:rsidRPr="0003149A">
              <w:rPr>
                <w:rFonts w:ascii="Arial" w:hAnsi="Arial" w:cs="Arial"/>
                <w:color w:val="222222"/>
                <w:sz w:val="18"/>
                <w:szCs w:val="18"/>
                <w:shd w:val="clear" w:color="auto" w:fill="FFFFFF"/>
              </w:rPr>
              <w:t xml:space="preserve"> et al. "Rights and representation support justice across aquatic food systems." </w:t>
            </w:r>
            <w:r w:rsidRPr="0003149A">
              <w:rPr>
                <w:rFonts w:ascii="Arial" w:hAnsi="Arial" w:cs="Arial"/>
                <w:i/>
                <w:iCs/>
                <w:color w:val="222222"/>
                <w:sz w:val="18"/>
                <w:szCs w:val="18"/>
                <w:shd w:val="clear" w:color="auto" w:fill="FFFFFF"/>
              </w:rPr>
              <w:t xml:space="preserve">Nature </w:t>
            </w:r>
            <w:r w:rsidR="000479DA" w:rsidRPr="0003149A">
              <w:rPr>
                <w:rFonts w:ascii="Arial" w:hAnsi="Arial" w:cs="Arial"/>
                <w:i/>
                <w:iCs/>
                <w:color w:val="222222"/>
                <w:sz w:val="18"/>
                <w:szCs w:val="18"/>
                <w:shd w:val="clear" w:color="auto" w:fill="FFFFFF"/>
              </w:rPr>
              <w:t>F</w:t>
            </w:r>
            <w:r w:rsidRPr="0003149A">
              <w:rPr>
                <w:rFonts w:ascii="Arial" w:hAnsi="Arial" w:cs="Arial"/>
                <w:i/>
                <w:iCs/>
                <w:color w:val="222222"/>
                <w:sz w:val="18"/>
                <w:szCs w:val="18"/>
                <w:shd w:val="clear" w:color="auto" w:fill="FFFFFF"/>
              </w:rPr>
              <w:t>ood</w:t>
            </w:r>
            <w:r w:rsidRPr="0003149A">
              <w:rPr>
                <w:rFonts w:ascii="Arial" w:hAnsi="Arial" w:cs="Arial"/>
                <w:color w:val="222222"/>
                <w:sz w:val="18"/>
                <w:szCs w:val="18"/>
                <w:shd w:val="clear" w:color="auto" w:fill="FFFFFF"/>
              </w:rPr>
              <w:t> 3, no. 10 (2022): 851-861.</w:t>
            </w:r>
          </w:p>
          <w:p w14:paraId="2CBAECD6" w14:textId="08362FB6" w:rsidR="000479DA" w:rsidRPr="000479DA" w:rsidRDefault="000479DA" w:rsidP="00706DED">
            <w:pPr>
              <w:jc w:val="both"/>
              <w:rPr>
                <w:rFonts w:ascii="Arial" w:hAnsi="Arial" w:cs="Arial"/>
                <w:bCs/>
              </w:rPr>
            </w:pPr>
            <w:r w:rsidRPr="0003149A">
              <w:rPr>
                <w:rFonts w:ascii="Arial" w:hAnsi="Arial" w:cs="Arial"/>
                <w:color w:val="222222"/>
                <w:sz w:val="18"/>
                <w:szCs w:val="18"/>
                <w:shd w:val="clear" w:color="auto" w:fill="FFFFFF"/>
                <w:vertAlign w:val="superscript"/>
              </w:rPr>
              <w:t xml:space="preserve">4 </w:t>
            </w:r>
            <w:r w:rsidRPr="0003149A">
              <w:rPr>
                <w:rFonts w:ascii="Arial" w:hAnsi="Arial" w:cs="Arial"/>
                <w:sz w:val="18"/>
                <w:szCs w:val="18"/>
              </w:rPr>
              <w:t xml:space="preserve">Stanford </w:t>
            </w:r>
            <w:proofErr w:type="spellStart"/>
            <w:r w:rsidRPr="0003149A">
              <w:rPr>
                <w:rFonts w:ascii="Arial" w:hAnsi="Arial" w:cs="Arial"/>
                <w:sz w:val="18"/>
                <w:szCs w:val="18"/>
              </w:rPr>
              <w:t>Center</w:t>
            </w:r>
            <w:proofErr w:type="spellEnd"/>
            <w:r w:rsidRPr="0003149A">
              <w:rPr>
                <w:rFonts w:ascii="Arial" w:hAnsi="Arial" w:cs="Arial"/>
                <w:sz w:val="18"/>
                <w:szCs w:val="18"/>
              </w:rPr>
              <w:t xml:space="preserve"> for Ocean Solutions, WorldFish, the Food and Agriculture Organization of the United Nations, Beijer Institute of Ecological Economics, CARE, and Environmental </w:t>
            </w:r>
            <w:proofErr w:type="spellStart"/>
            <w:r w:rsidRPr="0003149A">
              <w:rPr>
                <w:rFonts w:ascii="Arial" w:hAnsi="Arial" w:cs="Arial"/>
                <w:sz w:val="18"/>
                <w:szCs w:val="18"/>
              </w:rPr>
              <w:t>Defense</w:t>
            </w:r>
            <w:proofErr w:type="spellEnd"/>
            <w:r w:rsidRPr="0003149A">
              <w:rPr>
                <w:rFonts w:ascii="Arial" w:hAnsi="Arial" w:cs="Arial"/>
                <w:sz w:val="18"/>
                <w:szCs w:val="18"/>
              </w:rPr>
              <w:t xml:space="preserve"> Fund. “Integrating blue foods into national climate strategies: Enhancing nationally determined contributions and strengthening climate action.” </w:t>
            </w:r>
            <w:r w:rsidRPr="0003149A">
              <w:rPr>
                <w:rFonts w:ascii="Arial" w:hAnsi="Arial" w:cs="Arial"/>
                <w:i/>
                <w:iCs/>
                <w:sz w:val="18"/>
                <w:szCs w:val="18"/>
              </w:rPr>
              <w:t xml:space="preserve">Stanford </w:t>
            </w:r>
            <w:proofErr w:type="spellStart"/>
            <w:r w:rsidRPr="0003149A">
              <w:rPr>
                <w:rFonts w:ascii="Arial" w:hAnsi="Arial" w:cs="Arial"/>
                <w:i/>
                <w:iCs/>
                <w:sz w:val="18"/>
                <w:szCs w:val="18"/>
              </w:rPr>
              <w:t>Center</w:t>
            </w:r>
            <w:proofErr w:type="spellEnd"/>
            <w:r w:rsidRPr="0003149A">
              <w:rPr>
                <w:rFonts w:ascii="Arial" w:hAnsi="Arial" w:cs="Arial"/>
                <w:i/>
                <w:iCs/>
                <w:sz w:val="18"/>
                <w:szCs w:val="18"/>
              </w:rPr>
              <w:t xml:space="preserve"> for Ocean Solutions</w:t>
            </w:r>
            <w:r w:rsidRPr="0003149A">
              <w:rPr>
                <w:rFonts w:ascii="Arial" w:hAnsi="Arial" w:cs="Arial"/>
                <w:sz w:val="18"/>
                <w:szCs w:val="18"/>
              </w:rPr>
              <w:t xml:space="preserve"> (2024). https://doi.org/10.25740/ cq607gn4098</w:t>
            </w:r>
            <w:r w:rsidRPr="0003149A">
              <w:rPr>
                <w:sz w:val="18"/>
                <w:szCs w:val="18"/>
              </w:rPr>
              <w:t xml:space="preserve"> </w:t>
            </w:r>
          </w:p>
        </w:tc>
      </w:tr>
    </w:tbl>
    <w:p w14:paraId="14FC3BE1" w14:textId="1ED2D544" w:rsidR="00C8423A" w:rsidRDefault="00C8423A" w:rsidP="00375B20">
      <w:pPr>
        <w:tabs>
          <w:tab w:val="left" w:pos="8931"/>
        </w:tabs>
      </w:pPr>
    </w:p>
    <w:p w14:paraId="15AC9FEF" w14:textId="15B67474" w:rsidR="009010B0" w:rsidRPr="00C26081" w:rsidRDefault="009010B0" w:rsidP="00247C60"/>
    <w:sectPr w:rsidR="009010B0" w:rsidRPr="00C26081" w:rsidSect="00386D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7D3A"/>
    <w:multiLevelType w:val="hybridMultilevel"/>
    <w:tmpl w:val="02083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A343F"/>
    <w:multiLevelType w:val="multilevel"/>
    <w:tmpl w:val="0ED2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F6150D"/>
    <w:multiLevelType w:val="hybridMultilevel"/>
    <w:tmpl w:val="25DCF2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C3172"/>
    <w:multiLevelType w:val="hybridMultilevel"/>
    <w:tmpl w:val="49D601A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9FC0D4C"/>
    <w:multiLevelType w:val="hybridMultilevel"/>
    <w:tmpl w:val="23F0FF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416439391">
    <w:abstractNumId w:val="1"/>
  </w:num>
  <w:num w:numId="2" w16cid:durableId="1027095654">
    <w:abstractNumId w:val="4"/>
  </w:num>
  <w:num w:numId="3" w16cid:durableId="1316374630">
    <w:abstractNumId w:val="3"/>
  </w:num>
  <w:num w:numId="4" w16cid:durableId="886725070">
    <w:abstractNumId w:val="0"/>
  </w:num>
  <w:num w:numId="5" w16cid:durableId="2126727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74A"/>
    <w:rsid w:val="0003149A"/>
    <w:rsid w:val="000454E9"/>
    <w:rsid w:val="000479DA"/>
    <w:rsid w:val="00053D52"/>
    <w:rsid w:val="00105E39"/>
    <w:rsid w:val="00132AE5"/>
    <w:rsid w:val="00155315"/>
    <w:rsid w:val="00247C60"/>
    <w:rsid w:val="00256963"/>
    <w:rsid w:val="002E3AA3"/>
    <w:rsid w:val="00317356"/>
    <w:rsid w:val="00342688"/>
    <w:rsid w:val="0034503D"/>
    <w:rsid w:val="00354C31"/>
    <w:rsid w:val="00375B20"/>
    <w:rsid w:val="00386D01"/>
    <w:rsid w:val="003927B5"/>
    <w:rsid w:val="004049E7"/>
    <w:rsid w:val="00462B90"/>
    <w:rsid w:val="00481297"/>
    <w:rsid w:val="004828A0"/>
    <w:rsid w:val="004B69C7"/>
    <w:rsid w:val="004D193B"/>
    <w:rsid w:val="004F4CE8"/>
    <w:rsid w:val="004F5C81"/>
    <w:rsid w:val="0053222C"/>
    <w:rsid w:val="005469BD"/>
    <w:rsid w:val="00550B17"/>
    <w:rsid w:val="005854B8"/>
    <w:rsid w:val="005C56BD"/>
    <w:rsid w:val="005C632B"/>
    <w:rsid w:val="0065012F"/>
    <w:rsid w:val="0068043B"/>
    <w:rsid w:val="00681CA7"/>
    <w:rsid w:val="006C1BB1"/>
    <w:rsid w:val="00807F64"/>
    <w:rsid w:val="008235E8"/>
    <w:rsid w:val="008773DF"/>
    <w:rsid w:val="008B01BA"/>
    <w:rsid w:val="008B50A0"/>
    <w:rsid w:val="008C0C35"/>
    <w:rsid w:val="008C22AD"/>
    <w:rsid w:val="008C2633"/>
    <w:rsid w:val="008E3D8D"/>
    <w:rsid w:val="008F2F93"/>
    <w:rsid w:val="009010B0"/>
    <w:rsid w:val="00906B39"/>
    <w:rsid w:val="00963443"/>
    <w:rsid w:val="009C374A"/>
    <w:rsid w:val="009F4EA0"/>
    <w:rsid w:val="00A71B5F"/>
    <w:rsid w:val="00B026E8"/>
    <w:rsid w:val="00B23026"/>
    <w:rsid w:val="00BA0872"/>
    <w:rsid w:val="00BA26BB"/>
    <w:rsid w:val="00BC6810"/>
    <w:rsid w:val="00BE0B4D"/>
    <w:rsid w:val="00BE58D6"/>
    <w:rsid w:val="00C15E80"/>
    <w:rsid w:val="00C26081"/>
    <w:rsid w:val="00C4126D"/>
    <w:rsid w:val="00C76C99"/>
    <w:rsid w:val="00C8423A"/>
    <w:rsid w:val="00CE53FE"/>
    <w:rsid w:val="00D716AD"/>
    <w:rsid w:val="00DB7929"/>
    <w:rsid w:val="00DD1BB3"/>
    <w:rsid w:val="00E12260"/>
    <w:rsid w:val="00E612FF"/>
    <w:rsid w:val="00EB1B31"/>
    <w:rsid w:val="00F818D6"/>
    <w:rsid w:val="00FA372B"/>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6843"/>
  <w15:chartTrackingRefBased/>
  <w15:docId w15:val="{CF48A676-7D7F-4D49-B5A5-C367EBC2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1">
    <w:name w:val="Table style1"/>
    <w:basedOn w:val="TableNormal"/>
    <w:uiPriority w:val="99"/>
    <w:rsid w:val="008235E8"/>
    <w:rPr>
      <w:sz w:val="20"/>
      <w:szCs w:val="20"/>
    </w:rPr>
    <w:tblPr/>
  </w:style>
  <w:style w:type="table" w:styleId="TableGrid">
    <w:name w:val="Table Grid"/>
    <w:basedOn w:val="TableNormal"/>
    <w:rsid w:val="00C8423A"/>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7C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C60"/>
    <w:rPr>
      <w:rFonts w:ascii="Segoe UI" w:hAnsi="Segoe UI" w:cs="Segoe UI"/>
      <w:sz w:val="18"/>
      <w:szCs w:val="18"/>
    </w:rPr>
  </w:style>
  <w:style w:type="character" w:styleId="CommentReference">
    <w:name w:val="annotation reference"/>
    <w:basedOn w:val="DefaultParagraphFont"/>
    <w:uiPriority w:val="99"/>
    <w:semiHidden/>
    <w:unhideWhenUsed/>
    <w:rsid w:val="0068043B"/>
    <w:rPr>
      <w:sz w:val="16"/>
      <w:szCs w:val="16"/>
    </w:rPr>
  </w:style>
  <w:style w:type="paragraph" w:styleId="CommentText">
    <w:name w:val="annotation text"/>
    <w:basedOn w:val="Normal"/>
    <w:link w:val="CommentTextChar"/>
    <w:uiPriority w:val="99"/>
    <w:semiHidden/>
    <w:unhideWhenUsed/>
    <w:rsid w:val="0068043B"/>
    <w:rPr>
      <w:sz w:val="20"/>
      <w:szCs w:val="20"/>
    </w:rPr>
  </w:style>
  <w:style w:type="character" w:customStyle="1" w:styleId="CommentTextChar">
    <w:name w:val="Comment Text Char"/>
    <w:basedOn w:val="DefaultParagraphFont"/>
    <w:link w:val="CommentText"/>
    <w:uiPriority w:val="99"/>
    <w:semiHidden/>
    <w:rsid w:val="0068043B"/>
    <w:rPr>
      <w:sz w:val="20"/>
      <w:szCs w:val="20"/>
    </w:rPr>
  </w:style>
  <w:style w:type="paragraph" w:styleId="CommentSubject">
    <w:name w:val="annotation subject"/>
    <w:basedOn w:val="CommentText"/>
    <w:next w:val="CommentText"/>
    <w:link w:val="CommentSubjectChar"/>
    <w:uiPriority w:val="99"/>
    <w:semiHidden/>
    <w:unhideWhenUsed/>
    <w:rsid w:val="0068043B"/>
    <w:rPr>
      <w:b/>
      <w:bCs/>
    </w:rPr>
  </w:style>
  <w:style w:type="character" w:customStyle="1" w:styleId="CommentSubjectChar">
    <w:name w:val="Comment Subject Char"/>
    <w:basedOn w:val="CommentTextChar"/>
    <w:link w:val="CommentSubject"/>
    <w:uiPriority w:val="99"/>
    <w:semiHidden/>
    <w:rsid w:val="0068043B"/>
    <w:rPr>
      <w:b/>
      <w:bCs/>
      <w:sz w:val="20"/>
      <w:szCs w:val="20"/>
    </w:rPr>
  </w:style>
  <w:style w:type="paragraph" w:styleId="Revision">
    <w:name w:val="Revision"/>
    <w:hidden/>
    <w:uiPriority w:val="99"/>
    <w:semiHidden/>
    <w:rsid w:val="00906B39"/>
  </w:style>
  <w:style w:type="paragraph" w:styleId="ListParagraph">
    <w:name w:val="List Paragraph"/>
    <w:basedOn w:val="Normal"/>
    <w:uiPriority w:val="34"/>
    <w:qFormat/>
    <w:rsid w:val="00105E39"/>
    <w:pPr>
      <w:ind w:left="720"/>
      <w:contextualSpacing/>
    </w:pPr>
  </w:style>
  <w:style w:type="character" w:styleId="Hyperlink">
    <w:name w:val="Hyperlink"/>
    <w:basedOn w:val="DefaultParagraphFont"/>
    <w:uiPriority w:val="99"/>
    <w:unhideWhenUsed/>
    <w:rsid w:val="00B23026"/>
    <w:rPr>
      <w:color w:val="0563C1" w:themeColor="hyperlink"/>
      <w:u w:val="single"/>
    </w:rPr>
  </w:style>
  <w:style w:type="character" w:styleId="UnresolvedMention">
    <w:name w:val="Unresolved Mention"/>
    <w:basedOn w:val="DefaultParagraphFont"/>
    <w:uiPriority w:val="99"/>
    <w:semiHidden/>
    <w:unhideWhenUsed/>
    <w:rsid w:val="00B23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63563">
      <w:bodyDiv w:val="1"/>
      <w:marLeft w:val="0"/>
      <w:marRight w:val="0"/>
      <w:marTop w:val="0"/>
      <w:marBottom w:val="0"/>
      <w:divBdr>
        <w:top w:val="none" w:sz="0" w:space="0" w:color="auto"/>
        <w:left w:val="none" w:sz="0" w:space="0" w:color="auto"/>
        <w:bottom w:val="none" w:sz="0" w:space="0" w:color="auto"/>
        <w:right w:val="none" w:sz="0" w:space="0" w:color="auto"/>
      </w:divBdr>
    </w:div>
    <w:div w:id="1528449384">
      <w:bodyDiv w:val="1"/>
      <w:marLeft w:val="0"/>
      <w:marRight w:val="0"/>
      <w:marTop w:val="0"/>
      <w:marBottom w:val="0"/>
      <w:divBdr>
        <w:top w:val="none" w:sz="0" w:space="0" w:color="auto"/>
        <w:left w:val="none" w:sz="0" w:space="0" w:color="auto"/>
        <w:bottom w:val="none" w:sz="0" w:space="0" w:color="auto"/>
        <w:right w:val="none" w:sz="0" w:space="0" w:color="auto"/>
      </w:divBdr>
    </w:div>
    <w:div w:id="158788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E6CC85-CFD0-4BCF-91F2-0190070A1FC3}">
  <ds:schemaRefs>
    <ds:schemaRef ds:uri="http://schemas.microsoft.com/sharepoint/v3/contenttype/forms"/>
  </ds:schemaRefs>
</ds:datastoreItem>
</file>

<file path=customXml/itemProps2.xml><?xml version="1.0" encoding="utf-8"?>
<ds:datastoreItem xmlns:ds="http://schemas.openxmlformats.org/officeDocument/2006/customXml" ds:itemID="{1D13055A-71A2-4F00-B32C-E4B4FBA4C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5252D-E591-453A-8164-E6940B4D4083}">
  <ds:schemaRef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http://purl.org/dc/dcmitype/"/>
    <ds:schemaRef ds:uri="6911e96c-4cc4-42d5-8e43-f93924cf6a05"/>
    <ds:schemaRef ds:uri="http://schemas.openxmlformats.org/package/2006/metadata/core-properties"/>
    <ds:schemaRef ds:uri="cab52c9b-ab33-4221-8af9-54f8f2b86a80"/>
    <ds:schemaRef ds:uri="9c8a2b7b-0bee-4c48-b0a6-23db8982d3b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712</Words>
  <Characters>4059</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 Syuan Huang, Dr</dc:creator>
  <cp:keywords/>
  <dc:description/>
  <cp:lastModifiedBy>Bethany Yee</cp:lastModifiedBy>
  <cp:revision>8</cp:revision>
  <dcterms:created xsi:type="dcterms:W3CDTF">2025-03-01T08:27:00Z</dcterms:created>
  <dcterms:modified xsi:type="dcterms:W3CDTF">2025-08-14T00:25:00Z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