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1B6C" w14:textId="77777777" w:rsidR="00275F8A" w:rsidRDefault="00275F8A" w:rsidP="002B5486">
      <w:pPr>
        <w:rPr>
          <w:rFonts w:ascii="Arial" w:hAnsi="Arial" w:cs="Arial"/>
          <w:b/>
          <w:bCs/>
        </w:rPr>
      </w:pPr>
    </w:p>
    <w:p w14:paraId="14D40EEB" w14:textId="77777777" w:rsidR="00275F8A" w:rsidRDefault="00275F8A" w:rsidP="002B5486">
      <w:pPr>
        <w:rPr>
          <w:rFonts w:ascii="Arial" w:hAnsi="Arial" w:cs="Arial"/>
          <w:b/>
          <w:bCs/>
        </w:rPr>
      </w:pPr>
    </w:p>
    <w:p w14:paraId="13BA9B7B" w14:textId="3965E377" w:rsidR="002B5486" w:rsidRPr="00275F8A" w:rsidRDefault="00C91D06" w:rsidP="002B5486">
      <w:pPr>
        <w:rPr>
          <w:rFonts w:ascii="Arial" w:hAnsi="Arial" w:cs="Arial"/>
          <w:b/>
          <w:bCs/>
        </w:rPr>
      </w:pPr>
      <w:r w:rsidRPr="00275F8A">
        <w:rPr>
          <w:rFonts w:ascii="Arial" w:hAnsi="Arial" w:cs="Arial"/>
          <w:b/>
          <w:bCs/>
        </w:rPr>
        <w:t>Evaluating a Live Glucose Dashboard Supported Model of Care to Mitigate Hypoglycaemia Hospital</w:t>
      </w:r>
      <w:r w:rsidRPr="00275F8A">
        <w:rPr>
          <w:rFonts w:ascii="Cambria Math" w:hAnsi="Cambria Math" w:cs="Cambria Math"/>
          <w:b/>
          <w:bCs/>
        </w:rPr>
        <w:t>‑</w:t>
      </w:r>
      <w:r w:rsidRPr="00275F8A">
        <w:rPr>
          <w:rFonts w:ascii="Arial" w:hAnsi="Arial" w:cs="Arial"/>
          <w:b/>
          <w:bCs/>
        </w:rPr>
        <w:t>Acquired Complications in Hospitalised Patients with Diabetes</w:t>
      </w:r>
    </w:p>
    <w:p w14:paraId="79776B6F" w14:textId="77777777" w:rsidR="002D1AC0" w:rsidRPr="00275F8A" w:rsidRDefault="002D1AC0" w:rsidP="002D1AC0">
      <w:pPr>
        <w:rPr>
          <w:rFonts w:ascii="Arial" w:hAnsi="Arial" w:cs="Arial"/>
          <w:b/>
          <w:bCs/>
          <w:lang w:val="en-GB"/>
        </w:rPr>
      </w:pPr>
    </w:p>
    <w:p w14:paraId="39D25CDC" w14:textId="091E0C4E"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27926931" w14:textId="5B04A8B7" w:rsidR="00C91D06" w:rsidRPr="00C91D06" w:rsidRDefault="00C91D06" w:rsidP="00C91D06">
      <w:pPr>
        <w:rPr>
          <w:rFonts w:ascii="Arial" w:hAnsi="Arial" w:cs="Arial"/>
          <w:lang w:val="en-AU"/>
        </w:rPr>
      </w:pPr>
      <w:r w:rsidRPr="00C91D06">
        <w:rPr>
          <w:rFonts w:ascii="Arial" w:hAnsi="Arial" w:cs="Arial"/>
          <w:lang w:val="en-AU"/>
        </w:rPr>
        <w:t>Hypoglycaemia hospital-acquired complications (Hypo</w:t>
      </w:r>
      <w:r w:rsidRPr="00C91D06">
        <w:rPr>
          <w:rFonts w:ascii="Arial" w:hAnsi="Arial" w:cs="Arial"/>
          <w:lang w:val="en-AU"/>
        </w:rPr>
        <w:noBreakHyphen/>
        <w:t>HACs) remain a common yet preventable adverse event among inpatients with diabetes, despite routine blood glucose level (BGL) monitoring. Hypoglycaemia contributes to significant patient harm and incurs substantial healthcare penalties. We piloted an interventional study implementing a nurse practitioner(NP)</w:t>
      </w:r>
      <w:r>
        <w:rPr>
          <w:rFonts w:ascii="Arial" w:hAnsi="Arial" w:cs="Arial"/>
          <w:lang w:val="en-AU"/>
        </w:rPr>
        <w:t xml:space="preserve"> </w:t>
      </w:r>
      <w:r w:rsidRPr="00C91D06">
        <w:rPr>
          <w:rFonts w:ascii="Arial" w:hAnsi="Arial" w:cs="Arial"/>
          <w:lang w:val="en-AU"/>
        </w:rPr>
        <w:t>led model of care (MOC) that leveraged a Live Glucose Dashboard (LGD) embedded in the electronic medical record (</w:t>
      </w:r>
      <w:proofErr w:type="spellStart"/>
      <w:r w:rsidRPr="00C91D06">
        <w:rPr>
          <w:rFonts w:ascii="Arial" w:hAnsi="Arial" w:cs="Arial"/>
          <w:lang w:val="en-AU"/>
        </w:rPr>
        <w:t>eMR</w:t>
      </w:r>
      <w:proofErr w:type="spellEnd"/>
      <w:r w:rsidRPr="00C91D06">
        <w:rPr>
          <w:rFonts w:ascii="Arial" w:hAnsi="Arial" w:cs="Arial"/>
          <w:lang w:val="en-AU"/>
        </w:rPr>
        <w:t>) to:</w:t>
      </w:r>
      <w:r w:rsidRPr="00C91D06">
        <w:rPr>
          <w:rFonts w:ascii="Arial" w:hAnsi="Arial" w:cs="Arial"/>
          <w:lang w:val="en-AU"/>
        </w:rPr>
        <w:br/>
        <w:t>(1) identify inpatients with diabetes at</w:t>
      </w:r>
      <w:r w:rsidR="00CA7AA7">
        <w:rPr>
          <w:rFonts w:ascii="Arial" w:hAnsi="Arial" w:cs="Arial"/>
          <w:lang w:val="en-AU"/>
        </w:rPr>
        <w:t>-</w:t>
      </w:r>
      <w:r w:rsidRPr="00C91D06">
        <w:rPr>
          <w:rFonts w:ascii="Arial" w:hAnsi="Arial" w:cs="Arial"/>
          <w:lang w:val="en-AU"/>
        </w:rPr>
        <w:t xml:space="preserve">risk of hypoglycaemia (BGL 4.0–4.9 mmol/L) receiving insulin and/or </w:t>
      </w:r>
      <w:proofErr w:type="spellStart"/>
      <w:r w:rsidRPr="00C91D06">
        <w:rPr>
          <w:rFonts w:ascii="Arial" w:hAnsi="Arial" w:cs="Arial"/>
          <w:lang w:val="en-AU"/>
        </w:rPr>
        <w:t>sulphonylureas</w:t>
      </w:r>
      <w:proofErr w:type="spellEnd"/>
      <w:r w:rsidRPr="00C91D06">
        <w:rPr>
          <w:rFonts w:ascii="Arial" w:hAnsi="Arial" w:cs="Arial"/>
          <w:lang w:val="en-AU"/>
        </w:rPr>
        <w:t>;</w:t>
      </w:r>
      <w:r w:rsidRPr="00C91D06">
        <w:rPr>
          <w:rFonts w:ascii="Arial" w:hAnsi="Arial" w:cs="Arial"/>
          <w:lang w:val="en-AU"/>
        </w:rPr>
        <w:br/>
        <w:t>(2) facilitate timely therapeutic interventions; and</w:t>
      </w:r>
      <w:r w:rsidRPr="00C91D06">
        <w:rPr>
          <w:rFonts w:ascii="Arial" w:hAnsi="Arial" w:cs="Arial"/>
          <w:lang w:val="en-AU"/>
        </w:rPr>
        <w:br/>
        <w:t>(3) compare Hypo</w:t>
      </w:r>
      <w:r w:rsidRPr="00C91D06">
        <w:rPr>
          <w:rFonts w:ascii="Arial" w:hAnsi="Arial" w:cs="Arial"/>
          <w:lang w:val="en-AU"/>
        </w:rPr>
        <w:noBreakHyphen/>
        <w:t>HAC rates pre and post</w:t>
      </w:r>
      <w:r w:rsidRPr="00C91D06">
        <w:rPr>
          <w:rFonts w:ascii="Arial" w:hAnsi="Arial" w:cs="Arial"/>
          <w:lang w:val="en-AU"/>
        </w:rPr>
        <w:noBreakHyphen/>
        <w:t>implementation.</w:t>
      </w:r>
    </w:p>
    <w:p w14:paraId="11DE327C" w14:textId="25BDDD20" w:rsidR="002B5486" w:rsidRDefault="00BC112F" w:rsidP="002D1AC0">
      <w:pPr>
        <w:rPr>
          <w:rFonts w:ascii="Arial" w:hAnsi="Arial" w:cs="Arial"/>
        </w:rPr>
      </w:pPr>
      <w:r>
        <w:rPr>
          <w:rFonts w:ascii="Arial" w:hAnsi="Arial" w:cs="Arial"/>
        </w:rPr>
        <w:t xml:space="preserve"> </w:t>
      </w:r>
    </w:p>
    <w:p w14:paraId="0A5A091B" w14:textId="77777777" w:rsidR="00F658B3" w:rsidRDefault="00F658B3" w:rsidP="002D1AC0">
      <w:pPr>
        <w:rPr>
          <w:rFonts w:ascii="Arial" w:hAnsi="Arial" w:cs="Arial"/>
          <w:b/>
          <w:bCs/>
          <w:lang w:val="en-GB"/>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7C9B03B9" w14:textId="3689B1B1" w:rsidR="002B5486" w:rsidRPr="00C91D06" w:rsidRDefault="00C91D06" w:rsidP="002D1AC0">
      <w:pPr>
        <w:rPr>
          <w:rFonts w:ascii="Arial" w:hAnsi="Arial" w:cs="Arial"/>
          <w:spacing w:val="2"/>
          <w:lang w:val="en-AU"/>
        </w:rPr>
      </w:pPr>
      <w:r w:rsidRPr="00C91D06">
        <w:rPr>
          <w:rFonts w:ascii="Arial" w:hAnsi="Arial" w:cs="Arial"/>
          <w:spacing w:val="2"/>
          <w:lang w:val="en-AU"/>
        </w:rPr>
        <w:t>This three</w:t>
      </w:r>
      <w:r w:rsidRPr="00C91D06">
        <w:rPr>
          <w:rFonts w:ascii="Arial" w:hAnsi="Arial" w:cs="Arial"/>
          <w:spacing w:val="2"/>
          <w:lang w:val="en-AU"/>
        </w:rPr>
        <w:noBreakHyphen/>
        <w:t>month pilot (19/05/2025–18/08/2025) was conducted by a Diabetes</w:t>
      </w:r>
      <w:r w:rsidR="00CA7AA7">
        <w:rPr>
          <w:rFonts w:ascii="Arial" w:hAnsi="Arial" w:cs="Arial"/>
          <w:spacing w:val="2"/>
          <w:lang w:val="en-AU"/>
        </w:rPr>
        <w:t>-</w:t>
      </w:r>
      <w:r w:rsidRPr="00C91D06">
        <w:rPr>
          <w:rFonts w:ascii="Arial" w:hAnsi="Arial" w:cs="Arial"/>
          <w:spacing w:val="2"/>
          <w:lang w:val="en-AU"/>
        </w:rPr>
        <w:t>NP</w:t>
      </w:r>
      <w:r>
        <w:rPr>
          <w:rFonts w:ascii="Arial" w:hAnsi="Arial" w:cs="Arial"/>
          <w:spacing w:val="2"/>
          <w:lang w:val="en-AU"/>
        </w:rPr>
        <w:t xml:space="preserve"> </w:t>
      </w:r>
      <w:r w:rsidR="00D85CFC">
        <w:rPr>
          <w:rFonts w:ascii="Arial" w:hAnsi="Arial" w:cs="Arial"/>
          <w:spacing w:val="2"/>
          <w:lang w:val="en-AU"/>
        </w:rPr>
        <w:t>using the</w:t>
      </w:r>
      <w:r w:rsidRPr="00C91D06">
        <w:rPr>
          <w:rFonts w:ascii="Arial" w:hAnsi="Arial" w:cs="Arial"/>
          <w:spacing w:val="2"/>
          <w:lang w:val="en-AU"/>
        </w:rPr>
        <w:t xml:space="preserve"> LGD to monitor routine inpatient BGLs (2–3 times weekly) and identify patients at</w:t>
      </w:r>
      <w:r w:rsidR="00CA7AA7">
        <w:rPr>
          <w:rFonts w:ascii="Arial" w:hAnsi="Arial" w:cs="Arial"/>
          <w:spacing w:val="2"/>
          <w:lang w:val="en-AU"/>
        </w:rPr>
        <w:t>-</w:t>
      </w:r>
      <w:r w:rsidRPr="00C91D06">
        <w:rPr>
          <w:rFonts w:ascii="Arial" w:hAnsi="Arial" w:cs="Arial"/>
          <w:spacing w:val="2"/>
          <w:lang w:val="en-AU"/>
        </w:rPr>
        <w:t>risk of hypoglycaemia (BGL 4.0</w:t>
      </w:r>
      <w:r w:rsidR="00CA7AA7">
        <w:rPr>
          <w:rFonts w:ascii="Arial" w:hAnsi="Arial" w:cs="Arial"/>
          <w:spacing w:val="2"/>
          <w:lang w:val="en-AU"/>
        </w:rPr>
        <w:t>-</w:t>
      </w:r>
      <w:r w:rsidRPr="00C91D06">
        <w:rPr>
          <w:rFonts w:ascii="Arial" w:hAnsi="Arial" w:cs="Arial"/>
          <w:spacing w:val="2"/>
          <w:lang w:val="en-AU"/>
        </w:rPr>
        <w:t>4.9 mmol/L). Treating medical teams were contacted promptly to facilitate review</w:t>
      </w:r>
      <w:r w:rsidR="00D85CFC">
        <w:rPr>
          <w:rFonts w:ascii="Arial" w:hAnsi="Arial" w:cs="Arial"/>
          <w:spacing w:val="2"/>
          <w:lang w:val="en-AU"/>
        </w:rPr>
        <w:t>/</w:t>
      </w:r>
      <w:r w:rsidRPr="00C91D06">
        <w:rPr>
          <w:rFonts w:ascii="Arial" w:hAnsi="Arial" w:cs="Arial"/>
          <w:spacing w:val="2"/>
          <w:lang w:val="en-AU"/>
        </w:rPr>
        <w:t>adjustment of diabetes therapy. A retrospective clinical audit captured patient characteristics and NP</w:t>
      </w:r>
      <w:r w:rsidRPr="00C91D06">
        <w:rPr>
          <w:rFonts w:ascii="Arial" w:hAnsi="Arial" w:cs="Arial"/>
          <w:spacing w:val="2"/>
          <w:lang w:val="en-AU"/>
        </w:rPr>
        <w:noBreakHyphen/>
        <w:t>initiated interventions. Hypo</w:t>
      </w:r>
      <w:r w:rsidRPr="00C91D06">
        <w:rPr>
          <w:rFonts w:ascii="Arial" w:hAnsi="Arial" w:cs="Arial"/>
          <w:spacing w:val="2"/>
          <w:lang w:val="en-AU"/>
        </w:rPr>
        <w:noBreakHyphen/>
        <w:t>HAC events during intervention period were extracted from the hospital’s Quality Improvement Data System and compared with the corresponding period in 2024 to assess the impact of the MOC.</w:t>
      </w:r>
      <w:r>
        <w:rPr>
          <w:rFonts w:ascii="Arial" w:hAnsi="Arial" w:cs="Arial"/>
          <w:spacing w:val="2"/>
          <w:lang w:val="en-AU"/>
        </w:rPr>
        <w:t xml:space="preserve"> </w:t>
      </w:r>
    </w:p>
    <w:p w14:paraId="166B59F3" w14:textId="77777777" w:rsidR="002B5486" w:rsidRDefault="002B5486" w:rsidP="002D1AC0">
      <w:pPr>
        <w:rPr>
          <w:rFonts w:ascii="Arial" w:hAnsi="Arial" w:cs="Arial"/>
          <w:b/>
          <w:bCs/>
          <w:lang w:val="en-GB"/>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3C88853A" w14:textId="704E215B" w:rsidR="00C91D06" w:rsidRPr="00C91D06" w:rsidRDefault="00F658B3" w:rsidP="00C91D06">
      <w:pPr>
        <w:rPr>
          <w:rFonts w:ascii="Arial" w:hAnsi="Arial" w:cs="Arial"/>
          <w:color w:val="000000" w:themeColor="text1"/>
          <w:spacing w:val="2"/>
          <w:kern w:val="0"/>
          <w:lang w:val="en-AU"/>
          <w14:ligatures w14:val="none"/>
        </w:rPr>
      </w:pPr>
      <w:r>
        <w:rPr>
          <w:rFonts w:ascii="Arial" w:hAnsi="Arial" w:cs="Arial"/>
          <w:color w:val="000000" w:themeColor="text1"/>
          <w:spacing w:val="2"/>
          <w:kern w:val="0"/>
          <w:lang w:val="en-AU"/>
          <w14:ligatures w14:val="none"/>
        </w:rPr>
        <w:t xml:space="preserve">During the pilot, </w:t>
      </w:r>
      <w:r w:rsidR="00C91D06" w:rsidRPr="00C91D06">
        <w:rPr>
          <w:rFonts w:ascii="Arial" w:hAnsi="Arial" w:cs="Arial"/>
          <w:color w:val="000000" w:themeColor="text1"/>
          <w:spacing w:val="2"/>
          <w:kern w:val="0"/>
          <w:lang w:val="en-AU"/>
          <w14:ligatures w14:val="none"/>
        </w:rPr>
        <w:t>2,317 inpatients with diabetes (mean</w:t>
      </w:r>
      <w:r>
        <w:rPr>
          <w:rFonts w:ascii="Arial" w:hAnsi="Arial" w:cs="Arial"/>
          <w:color w:val="000000" w:themeColor="text1"/>
          <w:spacing w:val="2"/>
          <w:kern w:val="0"/>
          <w:lang w:val="en-AU"/>
          <w14:ligatures w14:val="none"/>
        </w:rPr>
        <w:t>=</w:t>
      </w:r>
      <w:r w:rsidR="00C91D06" w:rsidRPr="00C91D06">
        <w:rPr>
          <w:rFonts w:ascii="Arial" w:hAnsi="Arial" w:cs="Arial"/>
          <w:color w:val="000000" w:themeColor="text1"/>
          <w:spacing w:val="2"/>
          <w:kern w:val="0"/>
          <w:lang w:val="en-AU"/>
          <w14:ligatures w14:val="none"/>
        </w:rPr>
        <w:t>63/day) were monitored. Of these, 59.7% required insulin</w:t>
      </w:r>
      <w:r w:rsidR="00CA7AA7">
        <w:rPr>
          <w:rFonts w:ascii="Arial" w:hAnsi="Arial" w:cs="Arial"/>
          <w:color w:val="000000" w:themeColor="text1"/>
          <w:spacing w:val="2"/>
          <w:kern w:val="0"/>
          <w:lang w:val="en-AU"/>
          <w14:ligatures w14:val="none"/>
        </w:rPr>
        <w:t xml:space="preserve"> (54%)</w:t>
      </w:r>
      <w:r w:rsidR="00C91D06" w:rsidRPr="00C91D06">
        <w:rPr>
          <w:rFonts w:ascii="Arial" w:hAnsi="Arial" w:cs="Arial"/>
          <w:color w:val="000000" w:themeColor="text1"/>
          <w:spacing w:val="2"/>
          <w:kern w:val="0"/>
          <w:lang w:val="en-AU"/>
          <w14:ligatures w14:val="none"/>
        </w:rPr>
        <w:t xml:space="preserve"> and/or sulphonylurea therapy (17%</w:t>
      </w:r>
      <w:r w:rsidR="00CA7AA7">
        <w:rPr>
          <w:rFonts w:ascii="Arial" w:hAnsi="Arial" w:cs="Arial"/>
          <w:color w:val="000000" w:themeColor="text1"/>
          <w:spacing w:val="2"/>
          <w:kern w:val="0"/>
          <w:lang w:val="en-AU"/>
          <w14:ligatures w14:val="none"/>
        </w:rPr>
        <w:t>)</w:t>
      </w:r>
      <w:r>
        <w:rPr>
          <w:rFonts w:ascii="Arial" w:hAnsi="Arial" w:cs="Arial"/>
          <w:color w:val="000000" w:themeColor="text1"/>
          <w:spacing w:val="2"/>
          <w:kern w:val="0"/>
          <w:lang w:val="en-AU"/>
          <w14:ligatures w14:val="none"/>
        </w:rPr>
        <w:t xml:space="preserve"> and</w:t>
      </w:r>
      <w:r w:rsidRPr="00C91D06">
        <w:rPr>
          <w:rFonts w:ascii="Arial" w:hAnsi="Arial" w:cs="Arial"/>
          <w:color w:val="000000" w:themeColor="text1"/>
          <w:spacing w:val="2"/>
          <w:kern w:val="0"/>
          <w:lang w:val="en-AU"/>
          <w14:ligatures w14:val="none"/>
        </w:rPr>
        <w:t>14</w:t>
      </w:r>
      <w:r w:rsidR="00C91D06" w:rsidRPr="00C91D06">
        <w:rPr>
          <w:rFonts w:ascii="Arial" w:hAnsi="Arial" w:cs="Arial"/>
          <w:color w:val="000000" w:themeColor="text1"/>
          <w:spacing w:val="2"/>
          <w:kern w:val="0"/>
          <w:lang w:val="en-AU"/>
          <w14:ligatures w14:val="none"/>
        </w:rPr>
        <w:t>%</w:t>
      </w:r>
      <w:r>
        <w:rPr>
          <w:rFonts w:ascii="Arial" w:hAnsi="Arial" w:cs="Arial"/>
          <w:color w:val="000000" w:themeColor="text1"/>
          <w:spacing w:val="2"/>
          <w:kern w:val="0"/>
          <w:lang w:val="en-AU"/>
          <w14:ligatures w14:val="none"/>
        </w:rPr>
        <w:t xml:space="preserve"> </w:t>
      </w:r>
      <w:r w:rsidR="00C91D06" w:rsidRPr="00C91D06">
        <w:rPr>
          <w:rFonts w:ascii="Arial" w:hAnsi="Arial" w:cs="Arial"/>
          <w:color w:val="000000" w:themeColor="text1"/>
          <w:spacing w:val="2"/>
          <w:kern w:val="0"/>
          <w:lang w:val="en-AU"/>
          <w14:ligatures w14:val="none"/>
        </w:rPr>
        <w:t>(n=331) were identified as being at</w:t>
      </w:r>
      <w:r w:rsidR="00CA7AA7">
        <w:rPr>
          <w:rFonts w:ascii="Arial" w:hAnsi="Arial" w:cs="Arial"/>
          <w:color w:val="000000" w:themeColor="text1"/>
          <w:spacing w:val="2"/>
          <w:kern w:val="0"/>
          <w:lang w:val="en-AU"/>
          <w14:ligatures w14:val="none"/>
        </w:rPr>
        <w:t>-</w:t>
      </w:r>
      <w:r w:rsidR="00C91D06" w:rsidRPr="00C91D06">
        <w:rPr>
          <w:rFonts w:ascii="Arial" w:hAnsi="Arial" w:cs="Arial"/>
          <w:color w:val="000000" w:themeColor="text1"/>
          <w:spacing w:val="2"/>
          <w:kern w:val="0"/>
          <w:lang w:val="en-AU"/>
          <w14:ligatures w14:val="none"/>
        </w:rPr>
        <w:t>risk of hypoglycaemia. NP</w:t>
      </w:r>
      <w:r w:rsidR="00C91D06" w:rsidRPr="00C91D06">
        <w:rPr>
          <w:rFonts w:ascii="Arial" w:hAnsi="Arial" w:cs="Arial"/>
          <w:color w:val="000000" w:themeColor="text1"/>
          <w:spacing w:val="2"/>
          <w:kern w:val="0"/>
          <w:lang w:val="en-AU"/>
          <w14:ligatures w14:val="none"/>
        </w:rPr>
        <w:noBreakHyphen/>
        <w:t>led interventions were implemented in 39% of at</w:t>
      </w:r>
      <w:r w:rsidR="00C91D06" w:rsidRPr="00C91D06">
        <w:rPr>
          <w:rFonts w:ascii="Arial" w:hAnsi="Arial" w:cs="Arial"/>
          <w:color w:val="000000" w:themeColor="text1"/>
          <w:spacing w:val="2"/>
          <w:kern w:val="0"/>
          <w:lang w:val="en-AU"/>
          <w14:ligatures w14:val="none"/>
        </w:rPr>
        <w:noBreakHyphen/>
        <w:t>risk patients.</w:t>
      </w:r>
      <w:r>
        <w:rPr>
          <w:rFonts w:ascii="Arial" w:hAnsi="Arial" w:cs="Arial"/>
          <w:color w:val="000000" w:themeColor="text1"/>
          <w:spacing w:val="2"/>
          <w:kern w:val="0"/>
          <w:lang w:val="en-AU"/>
          <w14:ligatures w14:val="none"/>
        </w:rPr>
        <w:t xml:space="preserve"> </w:t>
      </w:r>
      <w:r w:rsidR="00C91D06" w:rsidRPr="00C91D06">
        <w:rPr>
          <w:rFonts w:ascii="Arial" w:hAnsi="Arial" w:cs="Arial"/>
          <w:color w:val="000000" w:themeColor="text1"/>
          <w:spacing w:val="2"/>
          <w:kern w:val="0"/>
          <w:lang w:val="en-AU"/>
          <w14:ligatures w14:val="none"/>
        </w:rPr>
        <w:t>During the intervention period, 37 Hypo</w:t>
      </w:r>
      <w:r w:rsidR="00C91D06" w:rsidRPr="00C91D06">
        <w:rPr>
          <w:rFonts w:ascii="Arial" w:hAnsi="Arial" w:cs="Arial"/>
          <w:color w:val="000000" w:themeColor="text1"/>
          <w:spacing w:val="2"/>
          <w:kern w:val="0"/>
          <w:lang w:val="en-AU"/>
          <w14:ligatures w14:val="none"/>
        </w:rPr>
        <w:noBreakHyphen/>
        <w:t>HACs were reported</w:t>
      </w:r>
      <w:r>
        <w:rPr>
          <w:rFonts w:ascii="Arial" w:hAnsi="Arial" w:cs="Arial"/>
          <w:color w:val="000000" w:themeColor="text1"/>
          <w:spacing w:val="2"/>
          <w:kern w:val="0"/>
          <w:lang w:val="en-AU"/>
          <w14:ligatures w14:val="none"/>
        </w:rPr>
        <w:t>,</w:t>
      </w:r>
      <w:r w:rsidR="00C91D06" w:rsidRPr="00C91D06">
        <w:rPr>
          <w:rFonts w:ascii="Arial" w:hAnsi="Arial" w:cs="Arial"/>
          <w:color w:val="000000" w:themeColor="text1"/>
          <w:spacing w:val="2"/>
          <w:kern w:val="0"/>
          <w:lang w:val="en-AU"/>
          <w14:ligatures w14:val="none"/>
        </w:rPr>
        <w:t xml:space="preserve"> compared with 44 events during the same period in 2024 (pre</w:t>
      </w:r>
      <w:r w:rsidR="00C91D06" w:rsidRPr="00C91D06">
        <w:rPr>
          <w:rFonts w:ascii="Arial" w:hAnsi="Arial" w:cs="Arial"/>
          <w:color w:val="000000" w:themeColor="text1"/>
          <w:spacing w:val="2"/>
          <w:kern w:val="0"/>
          <w:lang w:val="en-AU"/>
          <w14:ligatures w14:val="none"/>
        </w:rPr>
        <w:noBreakHyphen/>
        <w:t>implementation), representing a 16.4% reduction (OR</w:t>
      </w:r>
      <w:r>
        <w:rPr>
          <w:rFonts w:ascii="Arial" w:hAnsi="Arial" w:cs="Arial"/>
          <w:color w:val="000000" w:themeColor="text1"/>
          <w:spacing w:val="2"/>
          <w:kern w:val="0"/>
          <w:lang w:val="en-AU"/>
          <w14:ligatures w14:val="none"/>
        </w:rPr>
        <w:t>=</w:t>
      </w:r>
      <w:r w:rsidR="00C91D06" w:rsidRPr="00C91D06">
        <w:rPr>
          <w:rFonts w:ascii="Arial" w:hAnsi="Arial" w:cs="Arial"/>
          <w:color w:val="000000" w:themeColor="text1"/>
          <w:spacing w:val="2"/>
          <w:kern w:val="0"/>
          <w:lang w:val="en-AU"/>
          <w14:ligatures w14:val="none"/>
        </w:rPr>
        <w:t>0.84; 95%CI</w:t>
      </w:r>
      <w:r>
        <w:rPr>
          <w:rFonts w:ascii="Arial" w:hAnsi="Arial" w:cs="Arial"/>
          <w:color w:val="000000" w:themeColor="text1"/>
          <w:spacing w:val="2"/>
          <w:kern w:val="0"/>
          <w:lang w:val="en-AU"/>
          <w14:ligatures w14:val="none"/>
        </w:rPr>
        <w:t>=</w:t>
      </w:r>
      <w:r w:rsidR="00C91D06" w:rsidRPr="00C91D06">
        <w:rPr>
          <w:rFonts w:ascii="Arial" w:hAnsi="Arial" w:cs="Arial"/>
          <w:color w:val="000000" w:themeColor="text1"/>
          <w:spacing w:val="2"/>
          <w:kern w:val="0"/>
          <w:lang w:val="en-AU"/>
          <w14:ligatures w14:val="none"/>
        </w:rPr>
        <w:t>0.54–1.29; p=0.49)</w:t>
      </w:r>
      <w:r>
        <w:rPr>
          <w:rFonts w:ascii="Arial" w:hAnsi="Arial" w:cs="Arial"/>
          <w:color w:val="000000" w:themeColor="text1"/>
          <w:spacing w:val="2"/>
          <w:kern w:val="0"/>
          <w:lang w:val="en-AU"/>
          <w14:ligatures w14:val="none"/>
        </w:rPr>
        <w:t xml:space="preserve"> </w:t>
      </w:r>
      <w:r w:rsidRPr="00F658B3">
        <w:rPr>
          <w:rFonts w:ascii="Arial" w:hAnsi="Arial" w:cs="Arial"/>
          <w:color w:val="000000" w:themeColor="text1"/>
          <w:spacing w:val="2"/>
          <w:kern w:val="0"/>
          <w14:ligatures w14:val="none"/>
        </w:rPr>
        <w:t>and an estimated annual cost saving of $46,000.</w:t>
      </w:r>
    </w:p>
    <w:p w14:paraId="46136759" w14:textId="308A6A9D" w:rsidR="002B5486" w:rsidRDefault="002B5486" w:rsidP="002B5486">
      <w:pPr>
        <w:rPr>
          <w:rFonts w:asciiTheme="minorHAnsi" w:hAnsiTheme="minorHAnsi" w:cs="Arial"/>
          <w:color w:val="000000" w:themeColor="text1"/>
          <w:spacing w:val="2"/>
          <w:kern w:val="0"/>
          <w:sz w:val="24"/>
          <w:szCs w:val="24"/>
          <w:lang w:val="en-AU"/>
          <w14:ligatures w14:val="none"/>
        </w:rPr>
      </w:pPr>
    </w:p>
    <w:p w14:paraId="39A30AD3" w14:textId="77777777" w:rsidR="002B5486" w:rsidRDefault="002D1AC0" w:rsidP="002D1AC0">
      <w:pPr>
        <w:rPr>
          <w:rFonts w:ascii="Arial" w:hAnsi="Arial" w:cs="Arial"/>
          <w:b/>
          <w:bCs/>
          <w:lang w:val="en-GB"/>
        </w:rPr>
      </w:pPr>
      <w:r>
        <w:rPr>
          <w:rFonts w:ascii="Arial" w:hAnsi="Arial" w:cs="Arial"/>
          <w:b/>
          <w:bCs/>
          <w:lang w:val="en-GB"/>
        </w:rPr>
        <w:t>Discussion / Conclusion:</w:t>
      </w:r>
    </w:p>
    <w:p w14:paraId="603BD0ED" w14:textId="2333CD87" w:rsidR="00C91D06" w:rsidRPr="00C91D06" w:rsidRDefault="00C91D06" w:rsidP="00C91D06">
      <w:pPr>
        <w:rPr>
          <w:rFonts w:ascii="Arial" w:hAnsi="Arial" w:cs="Arial"/>
          <w:spacing w:val="2"/>
          <w:lang w:val="en-AU"/>
        </w:rPr>
      </w:pPr>
      <w:r w:rsidRPr="00C91D06">
        <w:rPr>
          <w:rFonts w:ascii="Arial" w:hAnsi="Arial" w:cs="Arial"/>
          <w:spacing w:val="2"/>
          <w:lang w:val="en-AU"/>
        </w:rPr>
        <w:t>Embedding L</w:t>
      </w:r>
      <w:r w:rsidR="00D85CFC">
        <w:rPr>
          <w:rFonts w:ascii="Arial" w:hAnsi="Arial" w:cs="Arial"/>
          <w:spacing w:val="2"/>
          <w:lang w:val="en-AU"/>
        </w:rPr>
        <w:t>GD</w:t>
      </w:r>
      <w:r w:rsidRPr="00C91D06">
        <w:rPr>
          <w:rFonts w:ascii="Arial" w:hAnsi="Arial" w:cs="Arial"/>
          <w:spacing w:val="2"/>
          <w:lang w:val="en-AU"/>
        </w:rPr>
        <w:t xml:space="preserve"> monitoring within the </w:t>
      </w:r>
      <w:proofErr w:type="spellStart"/>
      <w:r w:rsidRPr="00C91D06">
        <w:rPr>
          <w:rFonts w:ascii="Arial" w:hAnsi="Arial" w:cs="Arial"/>
          <w:spacing w:val="2"/>
          <w:lang w:val="en-AU"/>
        </w:rPr>
        <w:t>eMR</w:t>
      </w:r>
      <w:proofErr w:type="spellEnd"/>
      <w:r w:rsidRPr="00C91D06">
        <w:rPr>
          <w:rFonts w:ascii="Arial" w:hAnsi="Arial" w:cs="Arial"/>
          <w:spacing w:val="2"/>
          <w:lang w:val="en-AU"/>
        </w:rPr>
        <w:t xml:space="preserve"> enables earlier identification of inpatients at</w:t>
      </w:r>
      <w:r w:rsidR="00CA7AA7">
        <w:rPr>
          <w:rFonts w:ascii="Arial" w:hAnsi="Arial" w:cs="Arial"/>
          <w:spacing w:val="2"/>
          <w:lang w:val="en-AU"/>
        </w:rPr>
        <w:t>-</w:t>
      </w:r>
      <w:r w:rsidRPr="00C91D06">
        <w:rPr>
          <w:rFonts w:ascii="Arial" w:hAnsi="Arial" w:cs="Arial"/>
          <w:spacing w:val="2"/>
          <w:lang w:val="en-AU"/>
        </w:rPr>
        <w:t>risk of hypoglycaemia and supports timely therapeutic adjustments. This NP</w:t>
      </w:r>
      <w:r w:rsidRPr="00C91D06">
        <w:rPr>
          <w:rFonts w:ascii="Arial" w:hAnsi="Arial" w:cs="Arial"/>
          <w:spacing w:val="2"/>
          <w:lang w:val="en-AU"/>
        </w:rPr>
        <w:noBreakHyphen/>
        <w:t>led</w:t>
      </w:r>
      <w:r w:rsidR="00D85CFC">
        <w:rPr>
          <w:rFonts w:ascii="Arial" w:hAnsi="Arial" w:cs="Arial"/>
          <w:spacing w:val="2"/>
          <w:lang w:val="en-AU"/>
        </w:rPr>
        <w:t xml:space="preserve"> MOC</w:t>
      </w:r>
      <w:r w:rsidRPr="00C91D06">
        <w:rPr>
          <w:rFonts w:ascii="Arial" w:hAnsi="Arial" w:cs="Arial"/>
          <w:spacing w:val="2"/>
          <w:lang w:val="en-AU"/>
        </w:rPr>
        <w:t xml:space="preserve"> promotes safer inpatient diabetes management, enhances clinician awareness, and demonstrates potential to reduce Hypo</w:t>
      </w:r>
      <w:r w:rsidRPr="00C91D06">
        <w:rPr>
          <w:rFonts w:ascii="Arial" w:hAnsi="Arial" w:cs="Arial"/>
          <w:spacing w:val="2"/>
          <w:lang w:val="en-AU"/>
        </w:rPr>
        <w:noBreakHyphen/>
        <w:t>HACs and associated healthcare costs.</w:t>
      </w:r>
    </w:p>
    <w:p w14:paraId="78CF23C3" w14:textId="77777777" w:rsidR="002D1AC0" w:rsidRPr="001C4412" w:rsidRDefault="002D1AC0" w:rsidP="002D1AC0">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C099B"/>
    <w:multiLevelType w:val="hybridMultilevel"/>
    <w:tmpl w:val="3BD4BDC4"/>
    <w:lvl w:ilvl="0" w:tplc="A92A3152">
      <w:start w:val="1"/>
      <w:numFmt w:val="decimal"/>
      <w:lvlText w:val="%1."/>
      <w:lvlJc w:val="left"/>
      <w:pPr>
        <w:ind w:left="1020" w:hanging="360"/>
      </w:pPr>
    </w:lvl>
    <w:lvl w:ilvl="1" w:tplc="6AA0ED34">
      <w:start w:val="1"/>
      <w:numFmt w:val="decimal"/>
      <w:lvlText w:val="%2."/>
      <w:lvlJc w:val="left"/>
      <w:pPr>
        <w:ind w:left="1020" w:hanging="360"/>
      </w:pPr>
    </w:lvl>
    <w:lvl w:ilvl="2" w:tplc="8ED28CF8">
      <w:start w:val="1"/>
      <w:numFmt w:val="decimal"/>
      <w:lvlText w:val="%3."/>
      <w:lvlJc w:val="left"/>
      <w:pPr>
        <w:ind w:left="1020" w:hanging="360"/>
      </w:pPr>
    </w:lvl>
    <w:lvl w:ilvl="3" w:tplc="680E6DDA">
      <w:start w:val="1"/>
      <w:numFmt w:val="decimal"/>
      <w:lvlText w:val="%4."/>
      <w:lvlJc w:val="left"/>
      <w:pPr>
        <w:ind w:left="1020" w:hanging="360"/>
      </w:pPr>
    </w:lvl>
    <w:lvl w:ilvl="4" w:tplc="A4887422">
      <w:start w:val="1"/>
      <w:numFmt w:val="decimal"/>
      <w:lvlText w:val="%5."/>
      <w:lvlJc w:val="left"/>
      <w:pPr>
        <w:ind w:left="1020" w:hanging="360"/>
      </w:pPr>
    </w:lvl>
    <w:lvl w:ilvl="5" w:tplc="A246E866">
      <w:start w:val="1"/>
      <w:numFmt w:val="decimal"/>
      <w:lvlText w:val="%6."/>
      <w:lvlJc w:val="left"/>
      <w:pPr>
        <w:ind w:left="1020" w:hanging="360"/>
      </w:pPr>
    </w:lvl>
    <w:lvl w:ilvl="6" w:tplc="571AE284">
      <w:start w:val="1"/>
      <w:numFmt w:val="decimal"/>
      <w:lvlText w:val="%7."/>
      <w:lvlJc w:val="left"/>
      <w:pPr>
        <w:ind w:left="1020" w:hanging="360"/>
      </w:pPr>
    </w:lvl>
    <w:lvl w:ilvl="7" w:tplc="67744A36">
      <w:start w:val="1"/>
      <w:numFmt w:val="decimal"/>
      <w:lvlText w:val="%8."/>
      <w:lvlJc w:val="left"/>
      <w:pPr>
        <w:ind w:left="1020" w:hanging="360"/>
      </w:pPr>
    </w:lvl>
    <w:lvl w:ilvl="8" w:tplc="4AB0A35A">
      <w:start w:val="1"/>
      <w:numFmt w:val="decimal"/>
      <w:lvlText w:val="%9."/>
      <w:lvlJc w:val="left"/>
      <w:pPr>
        <w:ind w:left="1020" w:hanging="360"/>
      </w:pPr>
    </w:lvl>
  </w:abstractNum>
  <w:num w:numId="1" w16cid:durableId="8611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0783D"/>
    <w:rsid w:val="00021F73"/>
    <w:rsid w:val="00091404"/>
    <w:rsid w:val="00096F4E"/>
    <w:rsid w:val="000A5CD2"/>
    <w:rsid w:val="000D0AAF"/>
    <w:rsid w:val="000D6E3D"/>
    <w:rsid w:val="000E4F21"/>
    <w:rsid w:val="0011320B"/>
    <w:rsid w:val="0011637E"/>
    <w:rsid w:val="0012463C"/>
    <w:rsid w:val="00165EAF"/>
    <w:rsid w:val="00183C1B"/>
    <w:rsid w:val="0020438F"/>
    <w:rsid w:val="0020475E"/>
    <w:rsid w:val="00210143"/>
    <w:rsid w:val="00227CBA"/>
    <w:rsid w:val="002438CB"/>
    <w:rsid w:val="00260E7F"/>
    <w:rsid w:val="00275F8A"/>
    <w:rsid w:val="002A4BBF"/>
    <w:rsid w:val="002B5486"/>
    <w:rsid w:val="002D1AC0"/>
    <w:rsid w:val="003053CE"/>
    <w:rsid w:val="003073CB"/>
    <w:rsid w:val="00314FDB"/>
    <w:rsid w:val="00355441"/>
    <w:rsid w:val="0035612E"/>
    <w:rsid w:val="003730C5"/>
    <w:rsid w:val="00385F92"/>
    <w:rsid w:val="003A31EC"/>
    <w:rsid w:val="003F5231"/>
    <w:rsid w:val="004002D6"/>
    <w:rsid w:val="00403B19"/>
    <w:rsid w:val="00412E71"/>
    <w:rsid w:val="00425AF4"/>
    <w:rsid w:val="00433F97"/>
    <w:rsid w:val="00445DE4"/>
    <w:rsid w:val="00446C75"/>
    <w:rsid w:val="00480143"/>
    <w:rsid w:val="004824C8"/>
    <w:rsid w:val="00495893"/>
    <w:rsid w:val="004A02B1"/>
    <w:rsid w:val="004D1DFB"/>
    <w:rsid w:val="004F2A2F"/>
    <w:rsid w:val="005157A2"/>
    <w:rsid w:val="00544041"/>
    <w:rsid w:val="00560672"/>
    <w:rsid w:val="00566C4E"/>
    <w:rsid w:val="00570E95"/>
    <w:rsid w:val="00577B58"/>
    <w:rsid w:val="00585775"/>
    <w:rsid w:val="005A19C3"/>
    <w:rsid w:val="005E5EE7"/>
    <w:rsid w:val="006229C2"/>
    <w:rsid w:val="006342B7"/>
    <w:rsid w:val="006461EA"/>
    <w:rsid w:val="006568BA"/>
    <w:rsid w:val="006744CF"/>
    <w:rsid w:val="006A64C1"/>
    <w:rsid w:val="006B5490"/>
    <w:rsid w:val="00720EC3"/>
    <w:rsid w:val="00743329"/>
    <w:rsid w:val="007847AC"/>
    <w:rsid w:val="0078729A"/>
    <w:rsid w:val="00796A4B"/>
    <w:rsid w:val="007A3042"/>
    <w:rsid w:val="007E7847"/>
    <w:rsid w:val="007F613D"/>
    <w:rsid w:val="00817EFC"/>
    <w:rsid w:val="0083259A"/>
    <w:rsid w:val="008649CA"/>
    <w:rsid w:val="00877D03"/>
    <w:rsid w:val="008872B6"/>
    <w:rsid w:val="008B100A"/>
    <w:rsid w:val="008E7161"/>
    <w:rsid w:val="00925042"/>
    <w:rsid w:val="0093465F"/>
    <w:rsid w:val="0094604A"/>
    <w:rsid w:val="00955316"/>
    <w:rsid w:val="00970AC3"/>
    <w:rsid w:val="00972A08"/>
    <w:rsid w:val="00976F47"/>
    <w:rsid w:val="00A12F40"/>
    <w:rsid w:val="00A544A7"/>
    <w:rsid w:val="00A92165"/>
    <w:rsid w:val="00AB3EA8"/>
    <w:rsid w:val="00AD09DB"/>
    <w:rsid w:val="00B03DD2"/>
    <w:rsid w:val="00B45A42"/>
    <w:rsid w:val="00B67EC0"/>
    <w:rsid w:val="00B80C7B"/>
    <w:rsid w:val="00B941A5"/>
    <w:rsid w:val="00BC112F"/>
    <w:rsid w:val="00BC52A5"/>
    <w:rsid w:val="00BE2A53"/>
    <w:rsid w:val="00C1413D"/>
    <w:rsid w:val="00C26431"/>
    <w:rsid w:val="00C7210E"/>
    <w:rsid w:val="00C728D8"/>
    <w:rsid w:val="00C80D29"/>
    <w:rsid w:val="00C91D06"/>
    <w:rsid w:val="00CA7AA7"/>
    <w:rsid w:val="00CD1B56"/>
    <w:rsid w:val="00CE112C"/>
    <w:rsid w:val="00CE1976"/>
    <w:rsid w:val="00CE21CD"/>
    <w:rsid w:val="00CF036A"/>
    <w:rsid w:val="00D10F46"/>
    <w:rsid w:val="00D70CDA"/>
    <w:rsid w:val="00D85961"/>
    <w:rsid w:val="00D85CFC"/>
    <w:rsid w:val="00DC7D8C"/>
    <w:rsid w:val="00E25E7B"/>
    <w:rsid w:val="00E67819"/>
    <w:rsid w:val="00E85E0A"/>
    <w:rsid w:val="00EB431C"/>
    <w:rsid w:val="00ED2568"/>
    <w:rsid w:val="00ED4B01"/>
    <w:rsid w:val="00F16076"/>
    <w:rsid w:val="00F471DE"/>
    <w:rsid w:val="00F658B3"/>
    <w:rsid w:val="00F85006"/>
    <w:rsid w:val="00FC64FF"/>
    <w:rsid w:val="00FD30DA"/>
    <w:rsid w:val="00FD5EF5"/>
    <w:rsid w:val="00FD6A73"/>
    <w:rsid w:val="00FE1CBF"/>
    <w:rsid w:val="00FE6A45"/>
  </w:rsids>
  <m:mathPr>
    <m:mathFont m:val="Cambria Math"/>
    <m:brkBin m:val="before"/>
    <m:brkBinSub m:val="--"/>
    <m:smallFrac m:val="0"/>
    <m:dispDef/>
    <m:lMargin m:val="0"/>
    <m:rMargin m:val="0"/>
    <m:defJc m:val="centerGroup"/>
    <m:wrapIndent m:val="1440"/>
    <m:intLim m:val="subSup"/>
    <m:naryLim m:val="undOvr"/>
  </m:mathPr>
  <w:themeFontLang w:val="en-NZ"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720EC3"/>
    <w:pPr>
      <w:spacing w:after="120" w:line="216" w:lineRule="auto"/>
    </w:pPr>
    <w:rPr>
      <w:rFonts w:asciiTheme="minorHAnsi" w:hAnsiTheme="minorHAnsi" w:cs="Arial"/>
      <w:color w:val="000000" w:themeColor="text1"/>
      <w:spacing w:val="2"/>
      <w:kern w:val="0"/>
      <w:sz w:val="20"/>
      <w:szCs w:val="20"/>
      <w:lang w:val="en-AU"/>
      <w14:ligatures w14:val="none"/>
    </w:rPr>
  </w:style>
  <w:style w:type="character" w:customStyle="1" w:styleId="BodyChar">
    <w:name w:val="Body Char"/>
    <w:basedOn w:val="DefaultParagraphFont"/>
    <w:link w:val="Body"/>
    <w:rsid w:val="00720EC3"/>
    <w:rPr>
      <w:rFonts w:cs="Arial"/>
      <w:color w:val="000000" w:themeColor="text1"/>
      <w:spacing w:val="2"/>
      <w:kern w:val="0"/>
      <w:sz w:val="20"/>
      <w:szCs w:val="20"/>
      <w:lang w:val="en-AU"/>
      <w14:ligatures w14:val="none"/>
    </w:rPr>
  </w:style>
  <w:style w:type="paragraph" w:styleId="Revision">
    <w:name w:val="Revision"/>
    <w:hidden/>
    <w:uiPriority w:val="99"/>
    <w:semiHidden/>
    <w:rsid w:val="006342B7"/>
    <w:pPr>
      <w:spacing w:after="0" w:line="240" w:lineRule="auto"/>
    </w:pPr>
    <w:rPr>
      <w:rFonts w:ascii="Atlas Grotesk Regular" w:hAnsi="Atlas Grotesk Regular"/>
      <w:sz w:val="22"/>
      <w:szCs w:val="22"/>
    </w:rPr>
  </w:style>
  <w:style w:type="character" w:styleId="CommentReference">
    <w:name w:val="annotation reference"/>
    <w:basedOn w:val="DefaultParagraphFont"/>
    <w:uiPriority w:val="99"/>
    <w:semiHidden/>
    <w:unhideWhenUsed/>
    <w:rsid w:val="006A64C1"/>
    <w:rPr>
      <w:sz w:val="16"/>
      <w:szCs w:val="16"/>
    </w:rPr>
  </w:style>
  <w:style w:type="paragraph" w:styleId="CommentText">
    <w:name w:val="annotation text"/>
    <w:basedOn w:val="Normal"/>
    <w:link w:val="CommentTextChar"/>
    <w:uiPriority w:val="99"/>
    <w:unhideWhenUsed/>
    <w:rsid w:val="006A64C1"/>
    <w:rPr>
      <w:sz w:val="20"/>
      <w:szCs w:val="20"/>
    </w:rPr>
  </w:style>
  <w:style w:type="character" w:customStyle="1" w:styleId="CommentTextChar">
    <w:name w:val="Comment Text Char"/>
    <w:basedOn w:val="DefaultParagraphFont"/>
    <w:link w:val="CommentText"/>
    <w:uiPriority w:val="99"/>
    <w:rsid w:val="006A64C1"/>
    <w:rPr>
      <w:rFonts w:ascii="Atlas Grotesk Regular" w:hAnsi="Atlas Grotesk Regular"/>
      <w:sz w:val="20"/>
      <w:szCs w:val="20"/>
    </w:rPr>
  </w:style>
  <w:style w:type="paragraph" w:styleId="CommentSubject">
    <w:name w:val="annotation subject"/>
    <w:basedOn w:val="CommentText"/>
    <w:next w:val="CommentText"/>
    <w:link w:val="CommentSubjectChar"/>
    <w:uiPriority w:val="99"/>
    <w:semiHidden/>
    <w:unhideWhenUsed/>
    <w:rsid w:val="006A64C1"/>
    <w:rPr>
      <w:b/>
      <w:bCs/>
    </w:rPr>
  </w:style>
  <w:style w:type="character" w:customStyle="1" w:styleId="CommentSubjectChar">
    <w:name w:val="Comment Subject Char"/>
    <w:basedOn w:val="CommentTextChar"/>
    <w:link w:val="CommentSubject"/>
    <w:uiPriority w:val="99"/>
    <w:semiHidden/>
    <w:rsid w:val="006A64C1"/>
    <w:rPr>
      <w:rFonts w:ascii="Atlas Grotesk Regular" w:hAnsi="Atlas Grotesk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E082BD1E-56FC-4474-A1FA-55B2A73ED7C5}"/>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2077</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2026-02-17T21:25:00Z</dcterms:created>
  <dcterms:modified xsi:type="dcterms:W3CDTF">2026-02-17T21:25:00Z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2026-01-30T05:05:14Z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53b88350-2680-47ee-a1eb-a9091d6e3bda</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ies>
</file>