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DD6C" w14:textId="2AD84EEF" w:rsidR="008427FA" w:rsidRPr="00D466EC" w:rsidRDefault="00D466EC" w:rsidP="008427FA">
      <w:pPr>
        <w:rPr>
          <w:rFonts w:ascii="Arial" w:hAnsi="Arial" w:cs="Arial"/>
          <w:b/>
          <w:bCs/>
        </w:rPr>
      </w:pPr>
      <w:r w:rsidRPr="00D466EC">
        <w:rPr>
          <w:rFonts w:ascii="Arial" w:hAnsi="Arial" w:cs="Arial"/>
          <w:b/>
          <w:bCs/>
        </w:rPr>
        <w:t>Decoding the biochemical signature of diabetic nephropathy: A precision biomarker panel for early detection and pathophysiological insight in high-prevalence Arab populations</w:t>
      </w:r>
    </w:p>
    <w:p w14:paraId="22A97A63" w14:textId="77777777" w:rsidR="008427FA" w:rsidRPr="00D466EC" w:rsidRDefault="008427FA" w:rsidP="008427FA">
      <w:pPr>
        <w:rPr>
          <w:rFonts w:ascii="Arial" w:hAnsi="Arial" w:cs="Arial"/>
          <w:b/>
          <w:bCs/>
        </w:rPr>
      </w:pPr>
    </w:p>
    <w:p w14:paraId="66467A53" w14:textId="1E1ED30B" w:rsidR="00754306" w:rsidRPr="00754306" w:rsidRDefault="00754306" w:rsidP="00754306">
      <w:pPr>
        <w:jc w:val="both"/>
        <w:rPr>
          <w:rFonts w:ascii="Arial" w:hAnsi="Arial" w:cs="Arial"/>
          <w:lang w:val="en-US"/>
        </w:rPr>
      </w:pPr>
      <w:r w:rsidRPr="00754306">
        <w:rPr>
          <w:rFonts w:ascii="Arial" w:hAnsi="Arial" w:cs="Arial"/>
          <w:b/>
          <w:bCs/>
          <w:lang w:val="en-US"/>
        </w:rPr>
        <w:t>Background:</w:t>
      </w:r>
      <w:r w:rsidRPr="00754306">
        <w:rPr>
          <w:rFonts w:ascii="Arial" w:hAnsi="Arial" w:cs="Arial"/>
          <w:lang w:val="en-US"/>
        </w:rPr>
        <w:t> </w:t>
      </w:r>
      <w:r w:rsidR="003775BA" w:rsidRPr="003775BA">
        <w:rPr>
          <w:rFonts w:ascii="Arial" w:hAnsi="Arial" w:cs="Arial"/>
          <w:lang w:val="en-US"/>
        </w:rPr>
        <w:t>While T2DM prevalence exceeds 20% in Saudi and Kuwaiti populations, conventional diagnostic markers often miss early-stage diabetic nephropathy. Fourteen years of longitudinal data show that relying on creatinine and albuminuria overlooks the early tubular dysfunction and metabolic dysregulation driving disease progression in these obesity-prone cohorts.</w:t>
      </w:r>
    </w:p>
    <w:p w14:paraId="38CFBCD0" w14:textId="44E52F01" w:rsidR="00754306" w:rsidRPr="00754306" w:rsidRDefault="00754306" w:rsidP="00754306">
      <w:pPr>
        <w:jc w:val="both"/>
        <w:rPr>
          <w:rFonts w:ascii="Arial" w:hAnsi="Arial" w:cs="Arial"/>
          <w:lang w:val="en-US"/>
        </w:rPr>
      </w:pPr>
      <w:r w:rsidRPr="00754306">
        <w:rPr>
          <w:rFonts w:ascii="Arial" w:hAnsi="Arial" w:cs="Arial"/>
          <w:b/>
          <w:bCs/>
          <w:lang w:val="en-US"/>
        </w:rPr>
        <w:t>Conceptual Framework:</w:t>
      </w:r>
      <w:r w:rsidRPr="00754306">
        <w:rPr>
          <w:rFonts w:ascii="Arial" w:hAnsi="Arial" w:cs="Arial"/>
          <w:lang w:val="en-US"/>
        </w:rPr>
        <w:t> </w:t>
      </w:r>
      <w:r w:rsidR="00323F6E" w:rsidRPr="00323F6E">
        <w:rPr>
          <w:rFonts w:ascii="Arial" w:hAnsi="Arial" w:cs="Arial"/>
          <w:lang w:val="en-US"/>
        </w:rPr>
        <w:t>This framework proposes an integrated biochemical signature for Diabetic Nephropathy (DN) that moves beyond albuminuria-centric models to capture multifaceted pathophysiology. It incorporates three critical dimensions: the Tubular Injury Axis (KIM-1, RBP, NGAL, MCP-1, transferrin) to detect early proximal tubule dysfunction; the Endothelial/Inflammatory Axis (VCAM-1, ICAM-1, selectins) to monitor microvascular injury; and the Metabolic Dysregulation Axis (trace elements, uric acid, electrolytes) to reflect systemic metabolic stress</w:t>
      </w:r>
      <w:r w:rsidR="00323F6E">
        <w:rPr>
          <w:rFonts w:ascii="Arial" w:hAnsi="Arial" w:cs="Arial"/>
          <w:lang w:val="en-US"/>
        </w:rPr>
        <w:t>.</w:t>
      </w:r>
    </w:p>
    <w:p w14:paraId="148B384E" w14:textId="0845FCE1" w:rsidR="00754306" w:rsidRPr="00754306" w:rsidRDefault="00754306" w:rsidP="00754306">
      <w:pPr>
        <w:jc w:val="both"/>
        <w:rPr>
          <w:rFonts w:ascii="Arial" w:hAnsi="Arial" w:cs="Arial"/>
          <w:lang w:val="en-US"/>
        </w:rPr>
      </w:pPr>
      <w:r w:rsidRPr="00754306">
        <w:rPr>
          <w:rFonts w:ascii="Arial" w:hAnsi="Arial" w:cs="Arial"/>
          <w:b/>
          <w:bCs/>
          <w:lang w:val="en-US"/>
        </w:rPr>
        <w:t>Pathophysiological Rationale:</w:t>
      </w:r>
      <w:r w:rsidRPr="00754306">
        <w:rPr>
          <w:rFonts w:ascii="Arial" w:hAnsi="Arial" w:cs="Arial"/>
          <w:lang w:val="en-US"/>
        </w:rPr>
        <w:t> </w:t>
      </w:r>
      <w:r w:rsidR="003775BA" w:rsidRPr="003775BA">
        <w:rPr>
          <w:rFonts w:ascii="Arial" w:hAnsi="Arial" w:cs="Arial"/>
          <w:lang w:val="en-US"/>
        </w:rPr>
        <w:t>Our research shows that urinary markers (KIM-1, NGAL, MCP-1) and cell adhesion molecules identify early DN and systemic microvascular damage before conventional tests. Additionally, trace element shifts and uric acid predict progression via oxidative pathways. Critically, a 10-year 'metabolic memory' threshold renders these patterns irreversible despite glycemic control, highlighting the failure of reactive diagnosis</w:t>
      </w:r>
      <w:r w:rsidRPr="00754306">
        <w:rPr>
          <w:rFonts w:ascii="Arial" w:hAnsi="Arial" w:cs="Arial"/>
          <w:lang w:val="en-US"/>
        </w:rPr>
        <w:t>.</w:t>
      </w:r>
    </w:p>
    <w:p w14:paraId="3BFBB96A" w14:textId="0DE4E0F2" w:rsidR="00754306" w:rsidRPr="00754306" w:rsidRDefault="00754306" w:rsidP="00754306">
      <w:pPr>
        <w:jc w:val="both"/>
        <w:rPr>
          <w:rFonts w:ascii="Arial" w:hAnsi="Arial" w:cs="Arial"/>
          <w:lang w:val="en-US"/>
        </w:rPr>
      </w:pPr>
      <w:r w:rsidRPr="00754306">
        <w:rPr>
          <w:rFonts w:ascii="Arial" w:hAnsi="Arial" w:cs="Arial"/>
          <w:b/>
          <w:bCs/>
          <w:lang w:val="en-US"/>
        </w:rPr>
        <w:t>Clinical Translation:</w:t>
      </w:r>
      <w:r w:rsidRPr="00754306">
        <w:rPr>
          <w:rFonts w:ascii="Arial" w:hAnsi="Arial" w:cs="Arial"/>
          <w:lang w:val="en-US"/>
        </w:rPr>
        <w:t> </w:t>
      </w:r>
      <w:r w:rsidR="00323F6E" w:rsidRPr="00323F6E">
        <w:rPr>
          <w:rFonts w:ascii="Arial" w:hAnsi="Arial" w:cs="Arial"/>
          <w:lang w:val="en-US"/>
        </w:rPr>
        <w:t>Integrating data from the Saudi-DKD cohort and validation studies, this precision panel facilitates stratified renal surveillance. Initial screening of metabolic markers (uric acid, electrolytes, trace elements) identifies high-risk patients, followed by targeted tubular (KIM-1, NGAL) and cell adhesion profiling for those with metabolic memory risk. This proactive strategy enables intervention before irreversible structural damage—a critical advantage for Arab populations</w:t>
      </w:r>
      <w:r w:rsidRPr="00754306">
        <w:rPr>
          <w:rFonts w:ascii="Arial" w:hAnsi="Arial" w:cs="Arial"/>
          <w:lang w:val="en-US"/>
        </w:rPr>
        <w:t>.</w:t>
      </w:r>
    </w:p>
    <w:p w14:paraId="6B03FC81" w14:textId="77777777" w:rsidR="00323F6E" w:rsidRDefault="00323F6E" w:rsidP="00323F6E">
      <w:pPr>
        <w:jc w:val="both"/>
        <w:rPr>
          <w:rFonts w:ascii="Arial" w:hAnsi="Arial" w:cs="Arial"/>
          <w:lang w:val="en-US"/>
        </w:rPr>
      </w:pPr>
      <w:r w:rsidRPr="00323F6E">
        <w:rPr>
          <w:rFonts w:ascii="Arial" w:hAnsi="Arial" w:cs="Arial"/>
          <w:b/>
          <w:bCs/>
          <w:lang w:val="en-US"/>
        </w:rPr>
        <w:t>In conclusion,</w:t>
      </w:r>
      <w:r w:rsidRPr="00323F6E">
        <w:rPr>
          <w:rFonts w:ascii="Arial" w:hAnsi="Arial" w:cs="Arial"/>
          <w:lang w:val="en-US"/>
        </w:rPr>
        <w:t xml:space="preserve"> this framework leverages over a decade of biochemical insights to provide a scalable model for the early detection of diabetic nephropathy. By identifying metabolic signatures before clinical symptoms arise, we can move beyond reactive care and implement proactive strategies that effectively preserve renal function within rapidly expanding diabetic populations</w:t>
      </w:r>
      <w:r w:rsidR="00754306" w:rsidRPr="00323F6E">
        <w:rPr>
          <w:rFonts w:ascii="Arial" w:hAnsi="Arial" w:cs="Arial"/>
          <w:lang w:val="en-US"/>
        </w:rPr>
        <w:t>.</w:t>
      </w:r>
    </w:p>
    <w:p w14:paraId="3BC1B022" w14:textId="77777777" w:rsidR="00323F6E" w:rsidRDefault="00323F6E" w:rsidP="00323F6E">
      <w:pPr>
        <w:jc w:val="both"/>
        <w:rPr>
          <w:rFonts w:ascii="Arial" w:hAnsi="Arial" w:cs="Arial"/>
          <w:lang w:val="en-US"/>
        </w:rPr>
      </w:pPr>
    </w:p>
    <w:p w14:paraId="2F8656B0" w14:textId="12FAD4C8" w:rsidR="00754306" w:rsidRPr="00754306" w:rsidRDefault="00754306" w:rsidP="00323F6E">
      <w:pPr>
        <w:jc w:val="both"/>
        <w:rPr>
          <w:rFonts w:ascii="Arial" w:hAnsi="Arial" w:cs="Arial"/>
          <w:lang w:val="en-US"/>
        </w:rPr>
      </w:pPr>
      <w:r w:rsidRPr="00754306">
        <w:rPr>
          <w:rFonts w:ascii="Arial" w:hAnsi="Arial" w:cs="Arial"/>
          <w:b/>
          <w:bCs/>
          <w:lang w:val="en-US"/>
        </w:rPr>
        <w:t>Keywords:</w:t>
      </w:r>
      <w:r w:rsidRPr="00754306">
        <w:rPr>
          <w:rFonts w:ascii="Arial" w:hAnsi="Arial" w:cs="Arial"/>
          <w:lang w:val="en-US"/>
        </w:rPr>
        <w:t> Diabetic nephropathy, KIM-1, NGAL, cell adhesion molecules, metabolic markers, trace elements, Arab populations, Saudi-DKD study</w:t>
      </w:r>
    </w:p>
    <w:p w14:paraId="69886DD6" w14:textId="77777777" w:rsidR="008427FA" w:rsidRPr="00754306" w:rsidRDefault="008427FA" w:rsidP="008427FA">
      <w:pPr>
        <w:rPr>
          <w:rFonts w:ascii="Arial" w:hAnsi="Arial" w:cs="Arial"/>
          <w:lang w:val="en-US"/>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21FA4"/>
    <w:rsid w:val="00234BC6"/>
    <w:rsid w:val="0028124D"/>
    <w:rsid w:val="00323F6E"/>
    <w:rsid w:val="00347ECF"/>
    <w:rsid w:val="00376B39"/>
    <w:rsid w:val="003775BA"/>
    <w:rsid w:val="004E09DD"/>
    <w:rsid w:val="007244F0"/>
    <w:rsid w:val="00754306"/>
    <w:rsid w:val="00830A4D"/>
    <w:rsid w:val="008427FA"/>
    <w:rsid w:val="008953CF"/>
    <w:rsid w:val="00927C90"/>
    <w:rsid w:val="009A582D"/>
    <w:rsid w:val="009D79DB"/>
    <w:rsid w:val="00A85759"/>
    <w:rsid w:val="00BC73E4"/>
    <w:rsid w:val="00CB5B1C"/>
    <w:rsid w:val="00D466EC"/>
    <w:rsid w:val="00D56368"/>
    <w:rsid w:val="00DA5F97"/>
    <w:rsid w:val="00DD0D64"/>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B5B1C"/>
    <w:rPr>
      <w:rFonts w:ascii="Calibri" w:eastAsia="Times New Roman" w:hAnsi="Calibri" w:cs="Calibri"/>
      <w:lang w:eastAsia="en-NZ"/>
    </w:rPr>
  </w:style>
  <w:style w:type="paragraph" w:styleId="ListParagraph">
    <w:name w:val="List Paragraph"/>
    <w:basedOn w:val="Normal"/>
    <w:uiPriority w:val="34"/>
    <w:qFormat/>
    <w:rsid w:val="00CB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ACC6A-3005-43E3-A4A9-813B8A2A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DF4BC9F3-4EA3-4246-B2B4-D9D9956BF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2026-03-22T22:21:00Z</dcterms:created>
  <dcterms:modified xsi:type="dcterms:W3CDTF">2026-03-22T22:22:00Z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