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606DC7" w14:textId="77777777" w:rsidR="007B1AED" w:rsidRDefault="007B1AED">
      <w:pPr>
        <w:widowControl w:val="0"/>
      </w:pPr>
    </w:p>
    <w:tbl>
      <w:tblPr>
        <w:tblStyle w:val="a"/>
        <w:tblW w:w="8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69"/>
      </w:tblGrid>
      <w:tr w:rsidR="007B1AED" w14:paraId="1309BDDF" w14:textId="77777777">
        <w:trPr>
          <w:trHeight w:val="774"/>
          <w:jc w:val="center"/>
        </w:trPr>
        <w:tc>
          <w:tcPr>
            <w:tcW w:w="8669" w:type="dxa"/>
            <w:shd w:val="clear" w:color="auto" w:fill="auto"/>
          </w:tcPr>
          <w:p w14:paraId="0760437D" w14:textId="77777777" w:rsidR="007B1AED" w:rsidRDefault="00000000">
            <w:pPr>
              <w:spacing w:before="120" w:after="120" w:line="240" w:lineRule="auto"/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>Pulmonary Embolism Response Team outcome at St George hospital</w:t>
            </w:r>
          </w:p>
        </w:tc>
      </w:tr>
      <w:tr w:rsidR="007B1AED" w14:paraId="7B8840CD" w14:textId="77777777">
        <w:trPr>
          <w:trHeight w:val="521"/>
          <w:jc w:val="center"/>
        </w:trPr>
        <w:tc>
          <w:tcPr>
            <w:tcW w:w="8669" w:type="dxa"/>
            <w:shd w:val="clear" w:color="auto" w:fill="auto"/>
          </w:tcPr>
          <w:p w14:paraId="77C5D4F9" w14:textId="77777777" w:rsidR="007B1AED" w:rsidRDefault="00000000">
            <w:pPr>
              <w:spacing w:before="120" w:after="120" w:line="240" w:lineRule="auto"/>
              <w:rPr>
                <w:u w:val="single"/>
              </w:rPr>
            </w:pPr>
            <w:r>
              <w:t>Kim M</w:t>
            </w:r>
            <w:r>
              <w:rPr>
                <w:vertAlign w:val="superscript"/>
              </w:rPr>
              <w:t>1</w:t>
            </w:r>
            <w:r>
              <w:t>, Chawla S</w:t>
            </w:r>
            <w:r>
              <w:rPr>
                <w:vertAlign w:val="superscript"/>
              </w:rPr>
              <w:t>1</w:t>
            </w:r>
            <w:r>
              <w:t>, Smith AI</w:t>
            </w:r>
            <w:r>
              <w:rPr>
                <w:vertAlign w:val="superscript"/>
              </w:rPr>
              <w:t>1</w:t>
            </w:r>
            <w:r>
              <w:t>, Zheng YZ</w:t>
            </w:r>
            <w:r>
              <w:rPr>
                <w:vertAlign w:val="superscript"/>
              </w:rPr>
              <w:t>1,2</w:t>
            </w:r>
          </w:p>
        </w:tc>
      </w:tr>
      <w:tr w:rsidR="007B1AED" w14:paraId="67D698D1" w14:textId="77777777">
        <w:trPr>
          <w:trHeight w:val="143"/>
          <w:jc w:val="center"/>
        </w:trPr>
        <w:tc>
          <w:tcPr>
            <w:tcW w:w="8669" w:type="dxa"/>
            <w:shd w:val="clear" w:color="auto" w:fill="auto"/>
          </w:tcPr>
          <w:p w14:paraId="352AEB7D" w14:textId="77777777" w:rsidR="007B1AED" w:rsidRDefault="00000000">
            <w:pPr>
              <w:spacing w:before="120" w:after="120" w:line="240" w:lineRule="auto"/>
              <w:rPr>
                <w:i/>
              </w:rPr>
            </w:pPr>
            <w:r>
              <w:rPr>
                <w:i/>
                <w:vertAlign w:val="superscript"/>
              </w:rPr>
              <w:t>1</w:t>
            </w:r>
            <w:r>
              <w:rPr>
                <w:i/>
              </w:rPr>
              <w:t>St George Hospital, Kogarah NSW, Australia</w:t>
            </w:r>
          </w:p>
          <w:p w14:paraId="4A98ED5B" w14:textId="77777777" w:rsidR="007B1AED" w:rsidRDefault="00000000">
            <w:pPr>
              <w:spacing w:before="120" w:after="120" w:line="240" w:lineRule="auto"/>
              <w:rPr>
                <w:i/>
              </w:rPr>
            </w:pPr>
            <w:r>
              <w:rPr>
                <w:i/>
                <w:vertAlign w:val="superscript"/>
              </w:rPr>
              <w:t xml:space="preserve">2 </w:t>
            </w:r>
            <w:r>
              <w:rPr>
                <w:i/>
              </w:rPr>
              <w:t>University of New South Wales School of Clinical medicine</w:t>
            </w:r>
          </w:p>
        </w:tc>
      </w:tr>
      <w:tr w:rsidR="007B1AED" w14:paraId="71DEB278" w14:textId="77777777">
        <w:trPr>
          <w:trHeight w:val="7747"/>
          <w:jc w:val="center"/>
        </w:trPr>
        <w:tc>
          <w:tcPr>
            <w:tcW w:w="8669" w:type="dxa"/>
            <w:shd w:val="clear" w:color="auto" w:fill="auto"/>
          </w:tcPr>
          <w:p w14:paraId="2EB1852F" w14:textId="77777777" w:rsidR="007B1AED" w:rsidRDefault="00000000">
            <w:pPr>
              <w:spacing w:line="240" w:lineRule="auto"/>
            </w:pPr>
            <w:r>
              <w:rPr>
                <w:b/>
              </w:rPr>
              <w:t xml:space="preserve">Introduction/Aim: </w:t>
            </w:r>
          </w:p>
          <w:p w14:paraId="6B4F2E31" w14:textId="176FB4B6" w:rsidR="007B1AED" w:rsidRDefault="00000000">
            <w:pPr>
              <w:spacing w:line="240" w:lineRule="auto"/>
            </w:pPr>
            <w:r>
              <w:t>Despite advances in diagnosing and treating pulmonary embolism</w:t>
            </w:r>
            <w:r w:rsidR="00F130C9">
              <w:t xml:space="preserve"> (PE)</w:t>
            </w:r>
            <w:r>
              <w:t xml:space="preserve">, a proportion of </w:t>
            </w:r>
            <w:r w:rsidR="00F130C9">
              <w:t xml:space="preserve">PE </w:t>
            </w:r>
            <w:r>
              <w:t xml:space="preserve">presentations still have a high early mortality risk. Identifying patients at risk of deterioration remains challenging even with biomarkers. Implementing a multidisciplinary pulmonary embolism response team (PERT) aims to improve communication and share expertise in managing patients with complex PE. This study evaluates the in-hospital outcomes of </w:t>
            </w:r>
            <w:r w:rsidR="00F130C9">
              <w:t>PE</w:t>
            </w:r>
            <w:r>
              <w:t xml:space="preserve">, since the </w:t>
            </w:r>
            <w:r w:rsidR="00F130C9">
              <w:t xml:space="preserve">implementation of guideline-directed risk stratification and </w:t>
            </w:r>
            <w:r>
              <w:t>PERT system.</w:t>
            </w:r>
          </w:p>
          <w:p w14:paraId="57AC1100" w14:textId="77777777" w:rsidR="007B1AED" w:rsidRDefault="007B1AED">
            <w:pPr>
              <w:spacing w:line="240" w:lineRule="auto"/>
              <w:rPr>
                <w:sz w:val="24"/>
                <w:szCs w:val="24"/>
              </w:rPr>
            </w:pPr>
          </w:p>
          <w:p w14:paraId="7F1508EF" w14:textId="77777777" w:rsidR="007B1AED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Methods: </w:t>
            </w:r>
          </w:p>
          <w:p w14:paraId="6504B427" w14:textId="6FEEB5E5" w:rsidR="007B1AED" w:rsidRDefault="00000000">
            <w:pPr>
              <w:spacing w:line="240" w:lineRule="auto"/>
            </w:pPr>
            <w:r>
              <w:t>We have conducted a retrospective audit of the PERT database at the St George hospital for the period of January 2022 to June 2023</w:t>
            </w:r>
            <w:r w:rsidR="00F130C9">
              <w:t>, examining</w:t>
            </w:r>
            <w:r>
              <w:t xml:space="preserve"> </w:t>
            </w:r>
            <w:r w:rsidR="00F130C9">
              <w:t xml:space="preserve">patient </w:t>
            </w:r>
            <w:r>
              <w:t xml:space="preserve">demographics, risk stratifying biomarkers, PERT call </w:t>
            </w:r>
            <w:r w:rsidR="00F130C9">
              <w:t>statistics</w:t>
            </w:r>
            <w:r>
              <w:t>, treatment decision</w:t>
            </w:r>
            <w:r w:rsidR="00F130C9">
              <w:t>s</w:t>
            </w:r>
            <w:r>
              <w:t xml:space="preserve"> and clinical outcomes including length of stay (LOS), mortality and complications.</w:t>
            </w:r>
          </w:p>
          <w:p w14:paraId="00803BC6" w14:textId="77777777" w:rsidR="007B1AED" w:rsidRDefault="007B1AED">
            <w:pPr>
              <w:spacing w:line="240" w:lineRule="auto"/>
            </w:pPr>
          </w:p>
          <w:p w14:paraId="5281DB38" w14:textId="77777777" w:rsidR="007B1AED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Results: </w:t>
            </w:r>
          </w:p>
          <w:p w14:paraId="5AC3C757" w14:textId="6C2716EC" w:rsidR="007B1AED" w:rsidRDefault="00000000">
            <w:pPr>
              <w:spacing w:line="240" w:lineRule="auto"/>
            </w:pPr>
            <w:r>
              <w:t>A total of 48 patients underwent PERT call at St George hospital between the period of February 2022 and June 2023. There were 31% patients with high</w:t>
            </w:r>
            <w:r w:rsidR="00F130C9">
              <w:t>-</w:t>
            </w:r>
            <w:r>
              <w:t>risk PE, 47% with intermediate</w:t>
            </w:r>
            <w:r w:rsidR="00F130C9">
              <w:t>-</w:t>
            </w:r>
            <w:r>
              <w:t>high risk PE and 20% patients with intermediate</w:t>
            </w:r>
            <w:r w:rsidR="00F130C9">
              <w:t>-</w:t>
            </w:r>
            <w:r>
              <w:t xml:space="preserve">low risk PE. 80% of the patients were admitted to ICU for monitoring </w:t>
            </w:r>
            <w:r w:rsidR="00F130C9">
              <w:t>(</w:t>
            </w:r>
            <w:r>
              <w:t>average stay of 2.4 days</w:t>
            </w:r>
            <w:r w:rsidR="00F130C9">
              <w:t>)</w:t>
            </w:r>
            <w:r>
              <w:t>. 27% of the patients received systemic thrombolysis, 21% of patients were treated with catheter directed thrombectomy and 37.5% of patients had inferior vena cava filter insertion.  7 patients experienced bleeding complications. There were 5</w:t>
            </w:r>
            <w:r w:rsidR="00F130C9">
              <w:t xml:space="preserve"> instances of </w:t>
            </w:r>
            <w:r>
              <w:t>PE</w:t>
            </w:r>
            <w:r w:rsidR="00F130C9">
              <w:t>-related mortality</w:t>
            </w:r>
            <w:r>
              <w:t xml:space="preserve"> (10%), 4 of which were high</w:t>
            </w:r>
            <w:r w:rsidR="00F130C9">
              <w:t>-</w:t>
            </w:r>
            <w:r>
              <w:t>risk PE and one intermediate</w:t>
            </w:r>
            <w:r w:rsidR="00F130C9">
              <w:t>-</w:t>
            </w:r>
            <w:r>
              <w:t xml:space="preserve">high risk PE.  </w:t>
            </w:r>
          </w:p>
          <w:p w14:paraId="1160E285" w14:textId="77777777" w:rsidR="007B1AED" w:rsidRDefault="007B1AED">
            <w:pPr>
              <w:spacing w:line="240" w:lineRule="auto"/>
            </w:pPr>
          </w:p>
          <w:p w14:paraId="4CDECEF9" w14:textId="77777777" w:rsidR="007B1AED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Conclusion: </w:t>
            </w:r>
          </w:p>
          <w:p w14:paraId="5A661D7A" w14:textId="73CF4A5B" w:rsidR="007E0820" w:rsidRDefault="00000000" w:rsidP="007E0820">
            <w:pPr>
              <w:spacing w:line="240" w:lineRule="auto"/>
            </w:pPr>
            <w:r>
              <w:t xml:space="preserve">This study demonstrated real world analysis of PERT </w:t>
            </w:r>
            <w:r w:rsidR="00FD4D33">
              <w:t xml:space="preserve">system </w:t>
            </w:r>
            <w:r>
              <w:t xml:space="preserve">and patient outcomes with acute PE. </w:t>
            </w:r>
            <w:r w:rsidR="007E0820">
              <w:t xml:space="preserve">We found that </w:t>
            </w:r>
            <w:r w:rsidR="007E0820">
              <w:t xml:space="preserve">a </w:t>
            </w:r>
            <w:r w:rsidR="007E0820">
              <w:t xml:space="preserve">greater portion of patients had </w:t>
            </w:r>
            <w:proofErr w:type="spellStart"/>
            <w:r w:rsidR="007E0820">
              <w:t>haemodynamic</w:t>
            </w:r>
            <w:proofErr w:type="spellEnd"/>
            <w:r w:rsidR="007E0820">
              <w:t xml:space="preserve"> monitoring</w:t>
            </w:r>
            <w:r w:rsidR="007E0820">
              <w:t xml:space="preserve"> as well as </w:t>
            </w:r>
            <w:r w:rsidR="00B94535">
              <w:t xml:space="preserve">escalation to </w:t>
            </w:r>
            <w:r w:rsidR="007E0820">
              <w:t>advanced therapy. The mortality rate of high and intermediate</w:t>
            </w:r>
            <w:r w:rsidR="007E0820">
              <w:t>-</w:t>
            </w:r>
            <w:r w:rsidR="007E0820">
              <w:t xml:space="preserve">high risk patients was comparable to the published literature. </w:t>
            </w:r>
            <w:r w:rsidR="00B94535">
              <w:t xml:space="preserve">Further comparison to pre-PERT era data and published PERT studies will be conducted. </w:t>
            </w:r>
          </w:p>
          <w:p w14:paraId="7B39C244" w14:textId="77777777" w:rsidR="007B1AED" w:rsidRDefault="00000000">
            <w:pPr>
              <w:spacing w:line="240" w:lineRule="auto"/>
            </w:pPr>
            <w:r>
              <w:br/>
            </w:r>
            <w:r>
              <w:rPr>
                <w:b/>
              </w:rPr>
              <w:t>Grant Support:  Nil</w:t>
            </w:r>
          </w:p>
        </w:tc>
      </w:tr>
    </w:tbl>
    <w:p w14:paraId="0771AAE5" w14:textId="77777777" w:rsidR="007B1AED" w:rsidRDefault="007B1AED">
      <w:pPr>
        <w:spacing w:line="240" w:lineRule="auto"/>
      </w:pPr>
    </w:p>
    <w:sectPr w:rsidR="007B1AED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ED"/>
    <w:rsid w:val="007B1AED"/>
    <w:rsid w:val="007E0820"/>
    <w:rsid w:val="00B94535"/>
    <w:rsid w:val="00F130C9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2567C"/>
  <w15:docId w15:val="{61881572-2418-4042-A459-6A7BEB44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330</Words>
  <Characters>1885</Characters>
  <Application>Microsoft Office Word</Application>
  <DocSecurity>0</DocSecurity>
  <Lines>15</Lines>
  <Paragraphs>4</Paragraphs>
  <ScaleCrop>false</ScaleCrop>
  <Company>NSW Health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Yizhong Zheng (South Eastern Sydney LHD)</cp:lastModifiedBy>
  <cp:revision>2</cp:revision>
  <dcterms:created xsi:type="dcterms:W3CDTF">2023-10-19T05:22:00Z</dcterms:created>
  <dcterms:modified xsi:type="dcterms:W3CDTF">2023-10-19T06:00:00Z</dcterms:modified>
</cp:coreProperties>
</file>