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4"/>
      </w:tblGrid>
      <w:tr w:rsidR="001564A4" w:rsidRPr="0050053A" w14:paraId="5C38377B" w14:textId="77777777" w:rsidTr="0064467F">
        <w:trPr>
          <w:trHeight w:val="839"/>
          <w:jc w:val="center"/>
        </w:trPr>
        <w:tc>
          <w:tcPr>
            <w:tcW w:w="8924" w:type="dxa"/>
            <w:shd w:val="clear" w:color="auto" w:fill="auto"/>
          </w:tcPr>
          <w:p w14:paraId="5C44F357" w14:textId="03FEBF68" w:rsidR="001564A4" w:rsidRPr="002560D2" w:rsidRDefault="002560D2" w:rsidP="002560D2">
            <w:pPr>
              <w:widowControl w:val="0"/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  <w:lang w:val="en-US"/>
              </w:rPr>
            </w:pPr>
            <w:r w:rsidRPr="002560D2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/>
              </w:rPr>
              <w:t>Dysregulated lymphatic vasculature accompanies impaired lung development in bronchopulmonary dysplasia</w:t>
            </w:r>
          </w:p>
        </w:tc>
      </w:tr>
      <w:tr w:rsidR="001564A4" w:rsidRPr="0050053A" w14:paraId="0E2E035C" w14:textId="77777777" w:rsidTr="0064467F">
        <w:trPr>
          <w:trHeight w:val="565"/>
          <w:jc w:val="center"/>
        </w:trPr>
        <w:tc>
          <w:tcPr>
            <w:tcW w:w="8924" w:type="dxa"/>
            <w:shd w:val="clear" w:color="auto" w:fill="auto"/>
          </w:tcPr>
          <w:p w14:paraId="73B55295" w14:textId="05D7DBB2" w:rsidR="001564A4" w:rsidRPr="00413B94" w:rsidRDefault="002209BA" w:rsidP="002209BA">
            <w:pPr>
              <w:widowControl w:val="0"/>
              <w:spacing w:before="240"/>
              <w:ind w:left="284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2209BA">
              <w:rPr>
                <w:rFonts w:ascii="Arial" w:hAnsi="Arial" w:cs="Arial"/>
                <w:sz w:val="22"/>
                <w:szCs w:val="22"/>
                <w:lang w:val="en-US"/>
              </w:rPr>
              <w:t>Evelyn Tsantikos</w:t>
            </w:r>
            <w:proofErr w:type="gramStart"/>
            <w:r w:rsidRPr="002209B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2209BA">
              <w:rPr>
                <w:rFonts w:ascii="Arial" w:hAnsi="Arial" w:cs="Arial"/>
                <w:sz w:val="22"/>
                <w:szCs w:val="22"/>
                <w:lang w:val="en-US"/>
              </w:rPr>
              <w:t>Lakshanie</w:t>
            </w:r>
            <w:proofErr w:type="gramEnd"/>
            <w:r w:rsidRPr="002209BA">
              <w:rPr>
                <w:rFonts w:ascii="Arial" w:hAnsi="Arial" w:cs="Arial"/>
                <w:sz w:val="22"/>
                <w:szCs w:val="22"/>
                <w:lang w:val="en-US"/>
              </w:rPr>
              <w:t xml:space="preserve"> C Wickramasinghe</w:t>
            </w:r>
            <w:r w:rsidRPr="002209B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Pr="002209BA">
              <w:rPr>
                <w:rFonts w:ascii="Arial" w:hAnsi="Arial" w:cs="Arial"/>
                <w:sz w:val="22"/>
                <w:szCs w:val="22"/>
                <w:lang w:val="en-US"/>
              </w:rPr>
              <w:t>, Elan L’Estrange-Stranieri</w:t>
            </w:r>
            <w:r w:rsidRPr="002209B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Pr="002209BA">
              <w:rPr>
                <w:rFonts w:ascii="Arial" w:hAnsi="Arial" w:cs="Arial"/>
                <w:sz w:val="22"/>
                <w:szCs w:val="22"/>
                <w:lang w:val="en-US"/>
              </w:rPr>
              <w:t>, Caitlin A O’Brien</w:t>
            </w:r>
            <w:r w:rsidRPr="002209B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Pr="002209BA">
              <w:rPr>
                <w:rFonts w:ascii="Arial" w:hAnsi="Arial" w:cs="Arial"/>
                <w:sz w:val="22"/>
                <w:szCs w:val="22"/>
                <w:lang w:val="en-US"/>
              </w:rPr>
              <w:t>, Amy T Hsu</w:t>
            </w:r>
            <w:r w:rsidRPr="002209B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Pr="002209BA">
              <w:rPr>
                <w:rFonts w:ascii="Arial" w:hAnsi="Arial" w:cs="Arial"/>
                <w:sz w:val="22"/>
                <w:szCs w:val="22"/>
                <w:lang w:val="en-US"/>
              </w:rPr>
              <w:t>, Peter van Wijngardeen</w:t>
            </w:r>
            <w:r w:rsidRPr="002209B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2,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4</w:t>
            </w:r>
            <w:r w:rsidRPr="002209BA">
              <w:rPr>
                <w:rFonts w:ascii="Arial" w:hAnsi="Arial" w:cs="Arial"/>
                <w:sz w:val="22"/>
                <w:szCs w:val="22"/>
                <w:lang w:val="en-US"/>
              </w:rPr>
              <w:t>, Gary P Anderson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2</w:t>
            </w:r>
            <w:r w:rsidRPr="002209BA">
              <w:rPr>
                <w:rFonts w:ascii="Arial" w:hAnsi="Arial" w:cs="Arial"/>
                <w:sz w:val="22"/>
                <w:szCs w:val="22"/>
                <w:lang w:val="en-US"/>
              </w:rPr>
              <w:t>, Steven A Stacker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Pr="002209BA">
              <w:rPr>
                <w:rFonts w:ascii="Arial" w:hAnsi="Arial" w:cs="Arial"/>
                <w:sz w:val="22"/>
                <w:szCs w:val="22"/>
                <w:lang w:val="en-US"/>
              </w:rPr>
              <w:t>, Marc G Achen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5</w:t>
            </w:r>
            <w:r w:rsidRPr="002209BA">
              <w:rPr>
                <w:rFonts w:ascii="Arial" w:hAnsi="Arial" w:cs="Arial"/>
                <w:sz w:val="22"/>
                <w:szCs w:val="22"/>
                <w:lang w:val="en-US"/>
              </w:rPr>
              <w:t>, Margaret L Hibbs</w:t>
            </w:r>
            <w:r w:rsidRPr="002209B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</w:p>
        </w:tc>
      </w:tr>
      <w:tr w:rsidR="001564A4" w:rsidRPr="0050053A" w14:paraId="385A19D9" w14:textId="77777777" w:rsidTr="0064467F">
        <w:trPr>
          <w:trHeight w:val="155"/>
          <w:jc w:val="center"/>
        </w:trPr>
        <w:tc>
          <w:tcPr>
            <w:tcW w:w="8924" w:type="dxa"/>
            <w:shd w:val="clear" w:color="auto" w:fill="auto"/>
          </w:tcPr>
          <w:p w14:paraId="1643A330" w14:textId="1BF22BD8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209B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Monash University, Melbourne, VIC, Australia</w:t>
            </w:r>
          </w:p>
          <w:p w14:paraId="3BD815D8" w14:textId="65D622D5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2209B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Melbourne, Melbourne, VIC, Australia</w:t>
            </w:r>
          </w:p>
          <w:p w14:paraId="6BCADC27" w14:textId="5559AC23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2209BA" w:rsidRPr="002209B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Peter MacCallum Cancer Centre</w:t>
            </w:r>
            <w:r w:rsidR="002209B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Melbourne, VIC, Australia</w:t>
            </w:r>
          </w:p>
          <w:p w14:paraId="0D94DF75" w14:textId="77777777" w:rsidR="002209BA" w:rsidRDefault="001564A4" w:rsidP="002209B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2209BA" w:rsidRPr="002209B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for Eye Research Australia</w:t>
            </w:r>
            <w:r w:rsidR="002209B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Melbourne, VIC, Australia</w:t>
            </w:r>
          </w:p>
          <w:p w14:paraId="45ED36BF" w14:textId="5CC984C3" w:rsidR="001564A4" w:rsidRPr="0050053A" w:rsidRDefault="001564A4" w:rsidP="002209B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2209BA" w:rsidRPr="002209B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St. Vincent’s Institute of Medical Research</w:t>
            </w:r>
            <w:r w:rsidR="002209B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Fitzroy, VIC, Australia</w:t>
            </w:r>
          </w:p>
        </w:tc>
      </w:tr>
      <w:tr w:rsidR="001564A4" w:rsidRPr="0050053A" w14:paraId="6DAF615A" w14:textId="77777777" w:rsidTr="00D34C5F">
        <w:trPr>
          <w:trHeight w:hRule="exact" w:val="9761"/>
          <w:jc w:val="center"/>
        </w:trPr>
        <w:tc>
          <w:tcPr>
            <w:tcW w:w="8924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458E5E84" w:rsidR="001564A4" w:rsidRPr="002560D2" w:rsidRDefault="002560D2" w:rsidP="000A28E2">
            <w:pPr>
              <w:pStyle w:val="Pa12"/>
              <w:rPr>
                <w:sz w:val="22"/>
                <w:szCs w:val="22"/>
              </w:rPr>
            </w:pPr>
            <w:r w:rsidRPr="002560D2">
              <w:rPr>
                <w:sz w:val="22"/>
                <w:szCs w:val="22"/>
                <w:lang w:val="en-US"/>
              </w:rPr>
              <w:t>Bronchopulmonary dysplasia (BPD) is a severe neonatal lung disease characterized by impaired lung maturation, disrupted microvasculature and inflammation</w:t>
            </w:r>
            <w:r w:rsidRPr="002560D2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2560D2">
              <w:rPr>
                <w:sz w:val="22"/>
                <w:szCs w:val="22"/>
                <w:lang w:val="en-US"/>
              </w:rPr>
              <w:t xml:space="preserve"> Whereas impaired pulmonary angiogenesis has been implicated in BPD, the role of the lymphatics, which coregulate fluid balance and leukocyte trafficking, is poorly understood.</w:t>
            </w:r>
          </w:p>
          <w:p w14:paraId="2251F6D5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C76B250" w14:textId="25C0C567" w:rsidR="001564A4" w:rsidRPr="0050053A" w:rsidRDefault="002560D2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neonatal hyperoxic BPD model was used to probe the effect of hyperoxia on pulmonary oedema</w:t>
            </w:r>
            <w:r w:rsidR="00AD3270">
              <w:rPr>
                <w:sz w:val="22"/>
                <w:szCs w:val="22"/>
              </w:rPr>
              <w:t xml:space="preserve"> and developmental impairment. T</w:t>
            </w:r>
            <w:r>
              <w:rPr>
                <w:sz w:val="22"/>
                <w:szCs w:val="22"/>
              </w:rPr>
              <w:t xml:space="preserve">he expression of several key developmental genes </w:t>
            </w:r>
            <w:r w:rsidR="00AD3270">
              <w:rPr>
                <w:sz w:val="22"/>
                <w:szCs w:val="22"/>
              </w:rPr>
              <w:t>was</w:t>
            </w:r>
            <w:r>
              <w:rPr>
                <w:sz w:val="22"/>
                <w:szCs w:val="22"/>
              </w:rPr>
              <w:t xml:space="preserve"> assessed by real-time quantitative </w:t>
            </w:r>
            <w:r w:rsidR="00AD3270">
              <w:rPr>
                <w:sz w:val="22"/>
                <w:szCs w:val="22"/>
              </w:rPr>
              <w:t xml:space="preserve">PCR, histopathology was used to assess lung structure, airspace size was quantitated by mean linear intercept, </w:t>
            </w:r>
            <w:r w:rsidR="0064467F">
              <w:rPr>
                <w:sz w:val="22"/>
                <w:szCs w:val="22"/>
              </w:rPr>
              <w:t xml:space="preserve">and </w:t>
            </w:r>
            <w:r w:rsidR="00AD3270">
              <w:rPr>
                <w:sz w:val="22"/>
                <w:szCs w:val="22"/>
              </w:rPr>
              <w:t xml:space="preserve">immunofluorescence imaging was used to stain for blood and lymphatic vascular structures. </w:t>
            </w:r>
            <w:r w:rsidR="0064467F">
              <w:rPr>
                <w:sz w:val="22"/>
                <w:szCs w:val="22"/>
              </w:rPr>
              <w:t>VEGF-D-deficient mice were used to probe the role of VEGF-D in response to hyperoxia and the role of VEGF-D in pulmonary lymphangiogenesis.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18F77515" w14:textId="7AE4F1E8" w:rsidR="001564A4" w:rsidRPr="00A32A1F" w:rsidRDefault="002560D2" w:rsidP="000A28E2">
            <w:pPr>
              <w:pStyle w:val="Pa12"/>
              <w:rPr>
                <w:sz w:val="22"/>
                <w:szCs w:val="22"/>
              </w:rPr>
            </w:pPr>
            <w:r w:rsidRPr="002560D2">
              <w:rPr>
                <w:sz w:val="22"/>
                <w:szCs w:val="22"/>
                <w:lang w:val="en-US"/>
              </w:rPr>
              <w:t>The gene encoding the lymphatic transcription factor Prox1 was markedly upregulated alongside reduced levels of vascular endothelial growth factor-C (VEGF-C), a lymphangiogenic factor that is essential for lung lymphatic development.</w:t>
            </w:r>
            <w:r w:rsidR="00AD3270">
              <w:rPr>
                <w:sz w:val="22"/>
                <w:szCs w:val="22"/>
                <w:lang w:val="en-US"/>
              </w:rPr>
              <w:t xml:space="preserve"> However, VEGF-D, a related factor </w:t>
            </w:r>
            <w:r w:rsidR="0064467F">
              <w:rPr>
                <w:sz w:val="22"/>
                <w:szCs w:val="22"/>
                <w:lang w:val="en-US"/>
              </w:rPr>
              <w:t>thought to be redundant to VEGF-C, was markedly increased</w:t>
            </w:r>
            <w:r w:rsidR="0064467F" w:rsidRPr="0064467F">
              <w:rPr>
                <w:sz w:val="22"/>
                <w:szCs w:val="22"/>
                <w:lang w:val="en-US"/>
              </w:rPr>
              <w:t xml:space="preserve">. VEGF-D-/- mice </w:t>
            </w:r>
            <w:r w:rsidR="0064467F">
              <w:rPr>
                <w:sz w:val="22"/>
                <w:szCs w:val="22"/>
                <w:lang w:val="en-US"/>
              </w:rPr>
              <w:t xml:space="preserve">exposed </w:t>
            </w:r>
            <w:r w:rsidR="0064467F" w:rsidRPr="0064467F">
              <w:rPr>
                <w:sz w:val="22"/>
                <w:szCs w:val="22"/>
                <w:lang w:val="en-US"/>
              </w:rPr>
              <w:t>to hyperoxia</w:t>
            </w:r>
            <w:r w:rsidR="0064467F">
              <w:rPr>
                <w:sz w:val="22"/>
                <w:szCs w:val="22"/>
                <w:lang w:val="en-US"/>
              </w:rPr>
              <w:t xml:space="preserve"> developed </w:t>
            </w:r>
            <w:r w:rsidR="0064467F" w:rsidRPr="0064467F">
              <w:rPr>
                <w:sz w:val="22"/>
                <w:szCs w:val="22"/>
                <w:lang w:val="en-US"/>
              </w:rPr>
              <w:t xml:space="preserve">exacerbated fluid accumulation in airspaces and alveolar airspace enlargement, and further impaired respiratory function. Hyperoxia induced a disorganized lymphatic vasculature in VEGF-D-/- mice, </w:t>
            </w:r>
            <w:r w:rsidR="0064467F" w:rsidRPr="0064467F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>with a significant increase in dilated small lymphatics</w:t>
            </w:r>
            <w:r w:rsidR="0064467F" w:rsidRPr="0064467F" w:rsidDel="00B01193">
              <w:rPr>
                <w:sz w:val="22"/>
                <w:szCs w:val="22"/>
                <w:lang w:val="en-US"/>
              </w:rPr>
              <w:t xml:space="preserve"> </w:t>
            </w:r>
            <w:r w:rsidR="0064467F" w:rsidRPr="0064467F">
              <w:rPr>
                <w:sz w:val="22"/>
                <w:szCs w:val="22"/>
                <w:lang w:val="en-US"/>
              </w:rPr>
              <w:t>associated with upregulation of inflammation</w:t>
            </w:r>
            <w:r w:rsidR="0064467F">
              <w:rPr>
                <w:sz w:val="22"/>
                <w:szCs w:val="22"/>
                <w:lang w:val="en-US"/>
              </w:rPr>
              <w:t>.</w:t>
            </w:r>
            <w:r w:rsidR="00A32A1F" w:rsidRPr="00EA0E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32A1F" w:rsidRPr="00A32A1F">
              <w:rPr>
                <w:sz w:val="22"/>
                <w:szCs w:val="22"/>
                <w:lang w:val="en-US"/>
              </w:rPr>
              <w:t xml:space="preserve">In </w:t>
            </w:r>
            <w:proofErr w:type="spellStart"/>
            <w:r w:rsidR="00A32A1F" w:rsidRPr="00A32A1F">
              <w:rPr>
                <w:sz w:val="22"/>
                <w:szCs w:val="22"/>
                <w:lang w:val="en-US"/>
              </w:rPr>
              <w:t>normoxic</w:t>
            </w:r>
            <w:proofErr w:type="spellEnd"/>
            <w:r w:rsidR="00A32A1F" w:rsidRPr="00A32A1F">
              <w:rPr>
                <w:sz w:val="22"/>
                <w:szCs w:val="22"/>
                <w:lang w:val="en-US"/>
              </w:rPr>
              <w:t xml:space="preserve"> conditions, adult VEGF-D-/- mice exhibited alveolar abnormalities resembling emphysema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5CCEFB2D" w14:textId="30CE88D6" w:rsidR="0064467F" w:rsidRDefault="0064467F" w:rsidP="0064467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67F">
              <w:rPr>
                <w:rFonts w:ascii="Arial" w:hAnsi="Arial" w:cs="Arial"/>
                <w:sz w:val="22"/>
                <w:szCs w:val="22"/>
                <w:lang w:val="en-US"/>
              </w:rPr>
              <w:t>These data indicate that disordered growth of the lymphatic vasculature occurs in BPD and</w:t>
            </w:r>
            <w:r w:rsidR="002209BA">
              <w:rPr>
                <w:rFonts w:ascii="Arial" w:hAnsi="Arial" w:cs="Arial"/>
                <w:sz w:val="22"/>
                <w:szCs w:val="22"/>
                <w:lang w:val="en-US"/>
              </w:rPr>
              <w:t xml:space="preserve"> that</w:t>
            </w:r>
            <w:r w:rsidRPr="0064467F">
              <w:rPr>
                <w:rFonts w:ascii="Arial" w:hAnsi="Arial" w:cs="Arial"/>
                <w:sz w:val="22"/>
                <w:szCs w:val="22"/>
                <w:lang w:val="en-US"/>
              </w:rPr>
              <w:t xml:space="preserve"> precise regulation of VEGF-D expression is critical in this response as well as in normal lung development.</w:t>
            </w:r>
          </w:p>
          <w:p w14:paraId="42CFB1AB" w14:textId="77777777" w:rsidR="00D34C5F" w:rsidRDefault="00D34C5F" w:rsidP="0064467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B84173D" w14:textId="77777777" w:rsidR="00D34C5F" w:rsidRPr="00D34C5F" w:rsidRDefault="00D34C5F" w:rsidP="00D34C5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34C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Grant Support:</w:t>
            </w:r>
            <w:r w:rsidRPr="00D34C5F">
              <w:rPr>
                <w:rFonts w:ascii="Arial" w:hAnsi="Arial" w:cs="Arial"/>
                <w:iCs/>
                <w:sz w:val="22"/>
                <w:szCs w:val="22"/>
              </w:rPr>
              <w:t xml:space="preserve"> This work was supported by NHMRC Project Grant </w:t>
            </w:r>
            <w:r w:rsidRPr="00D34C5F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1141208</w:t>
            </w:r>
          </w:p>
          <w:p w14:paraId="057C588E" w14:textId="77777777" w:rsidR="00D34C5F" w:rsidRPr="00D34C5F" w:rsidRDefault="00D34C5F" w:rsidP="00D34C5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E5DE773" w14:textId="77777777" w:rsidR="00D34C5F" w:rsidRPr="00D34C5F" w:rsidRDefault="00D34C5F" w:rsidP="00D34C5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34C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Keywords:</w:t>
            </w:r>
            <w:r w:rsidRPr="00D34C5F">
              <w:rPr>
                <w:rFonts w:ascii="Arial" w:hAnsi="Arial" w:cs="Arial"/>
                <w:iCs/>
                <w:sz w:val="22"/>
                <w:szCs w:val="22"/>
              </w:rPr>
              <w:t xml:space="preserve"> Bronchopulmonary dysplasia, neonatal lung disease, pulmonary oedema, lymphatic vasculature, inflammation. </w:t>
            </w:r>
          </w:p>
          <w:p w14:paraId="08C3C9D4" w14:textId="77777777" w:rsidR="00D34C5F" w:rsidRPr="0064467F" w:rsidRDefault="00D34C5F" w:rsidP="0064467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9B04572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196E7BAC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517CBF89" w:rsidR="00E0700F" w:rsidRDefault="00E0700F" w:rsidP="001564A4"/>
    <w:p w14:paraId="39CCD16C" w14:textId="018AF03C" w:rsidR="00F93FB2" w:rsidRDefault="00F93FB2" w:rsidP="001564A4"/>
    <w:sectPr w:rsidR="00F93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B658D"/>
    <w:rsid w:val="002209BA"/>
    <w:rsid w:val="002560D2"/>
    <w:rsid w:val="004A0114"/>
    <w:rsid w:val="0051574E"/>
    <w:rsid w:val="0064467F"/>
    <w:rsid w:val="008803FA"/>
    <w:rsid w:val="00A32A1F"/>
    <w:rsid w:val="00AD3270"/>
    <w:rsid w:val="00B12E32"/>
    <w:rsid w:val="00B803EB"/>
    <w:rsid w:val="00D34C5F"/>
    <w:rsid w:val="00E0700F"/>
    <w:rsid w:val="00F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cab52c9b-ab33-4221-8af9-54f8f2b86a80"/>
    <ds:schemaRef ds:uri="http://purl.org/dc/terms/"/>
    <ds:schemaRef ds:uri="9c8a2b7b-0bee-4c48-b0a6-23db8982d3bc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2023-10-16T23:40:00Z</dcterms:created>
  <dcterms:modified xsi:type="dcterms:W3CDTF">2023-10-16T23:40:00Z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