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1564A4" w:rsidRPr="0050053A" w14:paraId="5C38377B" w14:textId="77777777" w:rsidTr="310AC6EC">
        <w:tc>
          <w:tcPr>
            <w:tcW w:w="8784" w:type="dxa"/>
          </w:tcPr>
          <w:p w14:paraId="5C44F357" w14:textId="32E17CD2" w:rsidR="001564A4" w:rsidRPr="00A70058" w:rsidRDefault="16C63135" w:rsidP="310AC6EC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 w:rsidRPr="00A70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Prince Charles Hospital Lung Bank contributes to Sherlock international lung cancer research. </w:t>
            </w:r>
          </w:p>
        </w:tc>
      </w:tr>
      <w:tr w:rsidR="001564A4" w:rsidRPr="0050053A" w14:paraId="0E2E035C" w14:textId="77777777" w:rsidTr="310AC6EC">
        <w:tc>
          <w:tcPr>
            <w:tcW w:w="8784" w:type="dxa"/>
          </w:tcPr>
          <w:p w14:paraId="73B55295" w14:textId="0C74F266" w:rsidR="00741E44" w:rsidRPr="00A70058" w:rsidRDefault="001474D6" w:rsidP="00A70058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B672B7">
              <w:rPr>
                <w:rFonts w:ascii="Arial" w:hAnsi="Arial" w:cs="Arial"/>
                <w:color w:val="000000" w:themeColor="text1"/>
              </w:rPr>
              <w:t>Anita Goldsworthy</w:t>
            </w:r>
            <w:r w:rsidR="11CB95C8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Pr="00B672B7">
              <w:rPr>
                <w:rFonts w:ascii="Arial" w:hAnsi="Arial" w:cs="Arial"/>
                <w:color w:val="000000" w:themeColor="text1"/>
              </w:rPr>
              <w:t xml:space="preserve">, </w:t>
            </w:r>
            <w:r w:rsidR="18322C2C" w:rsidRPr="00B672B7">
              <w:rPr>
                <w:rFonts w:ascii="Arial" w:hAnsi="Arial" w:cs="Arial"/>
              </w:rPr>
              <w:t>Kelly Chee</w:t>
            </w:r>
            <w:r w:rsidR="00BA79E8" w:rsidRPr="00B672B7">
              <w:rPr>
                <w:rFonts w:ascii="Arial" w:hAnsi="Arial" w:cs="Arial"/>
                <w:vertAlign w:val="superscript"/>
              </w:rPr>
              <w:t>1</w:t>
            </w:r>
            <w:r w:rsidR="18322C2C" w:rsidRPr="00B672B7">
              <w:rPr>
                <w:rFonts w:ascii="Arial" w:hAnsi="Arial" w:cs="Arial"/>
              </w:rPr>
              <w:t xml:space="preserve">, </w:t>
            </w:r>
            <w:r w:rsidRPr="00B672B7">
              <w:rPr>
                <w:rFonts w:ascii="Arial" w:hAnsi="Arial" w:cs="Arial"/>
                <w:color w:val="000000" w:themeColor="text1"/>
              </w:rPr>
              <w:t>Linda Passmore</w:t>
            </w:r>
            <w:r w:rsidR="00BA79E8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Pr="00B672B7">
              <w:rPr>
                <w:rFonts w:ascii="Arial" w:hAnsi="Arial" w:cs="Arial"/>
                <w:color w:val="000000" w:themeColor="text1"/>
                <w:vertAlign w:val="superscript"/>
              </w:rPr>
              <w:t>,</w:t>
            </w:r>
            <w:r w:rsidRPr="00B672B7">
              <w:rPr>
                <w:rFonts w:ascii="Arial" w:hAnsi="Arial" w:cs="Arial"/>
                <w:color w:val="000000" w:themeColor="text1"/>
              </w:rPr>
              <w:t xml:space="preserve"> Jaccalyne Brady</w:t>
            </w:r>
            <w:r w:rsidR="00BA79E8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Pr="00B672B7">
              <w:rPr>
                <w:rFonts w:ascii="Arial" w:hAnsi="Arial" w:cs="Arial"/>
                <w:color w:val="000000" w:themeColor="text1"/>
              </w:rPr>
              <w:t>, Barbara Page</w:t>
            </w:r>
            <w:r w:rsidR="00BA79E8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="26A55211" w:rsidRPr="00B672B7">
              <w:rPr>
                <w:rFonts w:ascii="Arial" w:hAnsi="Arial" w:cs="Arial"/>
                <w:color w:val="000000" w:themeColor="text1"/>
              </w:rPr>
              <w:t xml:space="preserve">, </w:t>
            </w:r>
            <w:r w:rsidR="36F4B94A" w:rsidRPr="00B672B7">
              <w:rPr>
                <w:rFonts w:ascii="Arial" w:hAnsi="Arial" w:cs="Arial"/>
              </w:rPr>
              <w:t>Maria Martins</w:t>
            </w:r>
            <w:r w:rsidR="00BA79E8" w:rsidRPr="00B672B7">
              <w:rPr>
                <w:rFonts w:ascii="Arial" w:hAnsi="Arial" w:cs="Arial"/>
                <w:vertAlign w:val="superscript"/>
              </w:rPr>
              <w:t>1</w:t>
            </w:r>
            <w:r w:rsidR="36F4B94A" w:rsidRPr="00B672B7">
              <w:rPr>
                <w:rFonts w:ascii="Arial" w:hAnsi="Arial" w:cs="Arial"/>
              </w:rPr>
              <w:t>,</w:t>
            </w:r>
            <w:r w:rsidR="00682E05" w:rsidRPr="00B672B7">
              <w:rPr>
                <w:rFonts w:ascii="Arial" w:hAnsi="Arial" w:cs="Arial"/>
              </w:rPr>
              <w:t xml:space="preserve"> </w:t>
            </w:r>
            <w:r w:rsidR="738C60A6" w:rsidRPr="00B672B7">
              <w:rPr>
                <w:rFonts w:ascii="Arial" w:hAnsi="Arial" w:cs="Arial"/>
              </w:rPr>
              <w:t>Edward Stephens</w:t>
            </w:r>
            <w:r w:rsidR="00BA79E8" w:rsidRPr="00B672B7">
              <w:rPr>
                <w:rFonts w:ascii="Arial" w:hAnsi="Arial" w:cs="Arial"/>
                <w:vertAlign w:val="superscript"/>
              </w:rPr>
              <w:t>1</w:t>
            </w:r>
            <w:r w:rsidR="738C60A6" w:rsidRPr="00B672B7">
              <w:rPr>
                <w:rFonts w:ascii="Arial" w:hAnsi="Arial" w:cs="Arial"/>
              </w:rPr>
              <w:t xml:space="preserve">, </w:t>
            </w:r>
            <w:r w:rsidR="27315C6F" w:rsidRPr="00B672B7">
              <w:rPr>
                <w:rFonts w:ascii="Arial" w:hAnsi="Arial" w:cs="Arial"/>
              </w:rPr>
              <w:t>Caeli</w:t>
            </w:r>
            <w:r w:rsidR="2722A677" w:rsidRPr="00B672B7">
              <w:rPr>
                <w:rFonts w:ascii="Arial" w:hAnsi="Arial" w:cs="Arial"/>
              </w:rPr>
              <w:t xml:space="preserve"> Zahra</w:t>
            </w:r>
            <w:r w:rsidR="00BA79E8" w:rsidRPr="00B672B7">
              <w:rPr>
                <w:rFonts w:ascii="Arial" w:hAnsi="Arial" w:cs="Arial"/>
                <w:vertAlign w:val="superscript"/>
              </w:rPr>
              <w:t>1</w:t>
            </w:r>
            <w:r w:rsidR="3279232F" w:rsidRPr="00B672B7">
              <w:rPr>
                <w:rFonts w:ascii="Arial" w:hAnsi="Arial" w:cs="Arial"/>
              </w:rPr>
              <w:t xml:space="preserve">, </w:t>
            </w:r>
            <w:r w:rsidR="00682E05" w:rsidRPr="00B672B7">
              <w:rPr>
                <w:rFonts w:ascii="Arial" w:hAnsi="Arial" w:cs="Arial"/>
              </w:rPr>
              <w:t>Edwina Duhig</w:t>
            </w:r>
            <w:r w:rsidR="00BA79E8" w:rsidRPr="00B672B7">
              <w:rPr>
                <w:rFonts w:ascii="Arial" w:hAnsi="Arial" w:cs="Arial"/>
                <w:vertAlign w:val="superscript"/>
              </w:rPr>
              <w:t>1</w:t>
            </w:r>
            <w:r w:rsidR="00682E05" w:rsidRPr="00B672B7">
              <w:rPr>
                <w:rFonts w:ascii="Arial" w:hAnsi="Arial" w:cs="Arial"/>
              </w:rPr>
              <w:t xml:space="preserve">, </w:t>
            </w:r>
            <w:r w:rsidR="00741E44" w:rsidRPr="00B672B7">
              <w:rPr>
                <w:rFonts w:ascii="Arial" w:hAnsi="Arial" w:cs="Arial"/>
                <w:color w:val="000000" w:themeColor="text1"/>
              </w:rPr>
              <w:t>Ian Yang</w:t>
            </w:r>
            <w:r w:rsidR="00BA79E8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="00741E44" w:rsidRPr="00B672B7">
              <w:rPr>
                <w:rFonts w:ascii="Arial" w:hAnsi="Arial" w:cs="Arial"/>
                <w:color w:val="000000" w:themeColor="text1"/>
              </w:rPr>
              <w:t>, Henry Marshall</w:t>
            </w:r>
            <w:r w:rsidR="5EFE3F2C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  <w:r w:rsidR="00741E44" w:rsidRPr="00B672B7">
              <w:rPr>
                <w:rFonts w:ascii="Arial" w:hAnsi="Arial" w:cs="Arial"/>
                <w:color w:val="000000" w:themeColor="text1"/>
              </w:rPr>
              <w:t>,</w:t>
            </w:r>
            <w:r w:rsidR="60B340E3" w:rsidRPr="00B672B7">
              <w:rPr>
                <w:rFonts w:ascii="Arial" w:hAnsi="Arial" w:cs="Arial"/>
                <w:color w:val="000000" w:themeColor="text1"/>
              </w:rPr>
              <w:t xml:space="preserve"> Justin Tan</w:t>
            </w:r>
            <w:r w:rsidR="006E52C3" w:rsidRPr="00B672B7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60B340E3" w:rsidRPr="00B672B7">
              <w:rPr>
                <w:rFonts w:ascii="Arial" w:hAnsi="Arial" w:cs="Arial"/>
                <w:color w:val="000000" w:themeColor="text1"/>
              </w:rPr>
              <w:t>,</w:t>
            </w:r>
            <w:r w:rsidR="00741E44" w:rsidRPr="00B672B7">
              <w:rPr>
                <w:rFonts w:ascii="Arial" w:hAnsi="Arial" w:cs="Arial"/>
                <w:color w:val="000000" w:themeColor="text1"/>
              </w:rPr>
              <w:t xml:space="preserve"> </w:t>
            </w:r>
            <w:r w:rsidR="3E50B1C5" w:rsidRPr="00B672B7">
              <w:rPr>
                <w:rFonts w:ascii="Arial" w:hAnsi="Arial" w:cs="Arial"/>
                <w:color w:val="000000" w:themeColor="text1"/>
              </w:rPr>
              <w:t>Morgan Windsor</w:t>
            </w:r>
            <w:r w:rsidR="00EC2FA4" w:rsidRPr="00B672B7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  <w:r w:rsidR="3E50B1C5" w:rsidRPr="00B672B7">
              <w:rPr>
                <w:rFonts w:ascii="Arial" w:hAnsi="Arial" w:cs="Arial"/>
                <w:color w:val="000000" w:themeColor="text1"/>
              </w:rPr>
              <w:t>, Rishendran Naidoo</w:t>
            </w:r>
            <w:r w:rsidR="00EC2FA4" w:rsidRPr="00B672B7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  <w:r w:rsidR="3E50B1C5" w:rsidRPr="00B672B7">
              <w:rPr>
                <w:rFonts w:ascii="Arial" w:hAnsi="Arial" w:cs="Arial"/>
                <w:color w:val="000000" w:themeColor="text1"/>
              </w:rPr>
              <w:t xml:space="preserve">, </w:t>
            </w:r>
            <w:r w:rsidR="6A4605EC" w:rsidRPr="00B672B7">
              <w:rPr>
                <w:rFonts w:ascii="Arial" w:hAnsi="Arial" w:cs="Arial"/>
                <w:color w:val="000000" w:themeColor="text1"/>
              </w:rPr>
              <w:t>David Godbolt</w:t>
            </w:r>
            <w:r w:rsidR="00EC2FA4" w:rsidRPr="00B672B7">
              <w:rPr>
                <w:rFonts w:ascii="Arial" w:hAnsi="Arial" w:cs="Arial"/>
                <w:color w:val="000000" w:themeColor="text1"/>
                <w:vertAlign w:val="superscript"/>
              </w:rPr>
              <w:t>4</w:t>
            </w:r>
            <w:r w:rsidR="6A4605EC" w:rsidRPr="00B672B7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B672B7">
              <w:rPr>
                <w:rFonts w:ascii="Arial" w:hAnsi="Arial" w:cs="Arial"/>
                <w:color w:val="000000" w:themeColor="text1"/>
              </w:rPr>
              <w:t xml:space="preserve">Kwun </w:t>
            </w:r>
            <w:r w:rsidR="00682E05" w:rsidRPr="00B672B7">
              <w:rPr>
                <w:rFonts w:ascii="Arial" w:hAnsi="Arial" w:cs="Arial"/>
                <w:color w:val="000000" w:themeColor="text1"/>
              </w:rPr>
              <w:t xml:space="preserve">M </w:t>
            </w:r>
            <w:r w:rsidRPr="00B672B7">
              <w:rPr>
                <w:rFonts w:ascii="Arial" w:hAnsi="Arial" w:cs="Arial"/>
                <w:color w:val="000000" w:themeColor="text1"/>
              </w:rPr>
              <w:t>Fong</w:t>
            </w:r>
            <w:r w:rsidR="208CFD1D" w:rsidRPr="00B672B7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</w:tr>
      <w:tr w:rsidR="001564A4" w:rsidRPr="0050053A" w14:paraId="385A19D9" w14:textId="77777777" w:rsidTr="310AC6EC">
        <w:trPr>
          <w:trHeight w:val="136"/>
        </w:trPr>
        <w:tc>
          <w:tcPr>
            <w:tcW w:w="8784" w:type="dxa"/>
          </w:tcPr>
          <w:p w14:paraId="38A415F0" w14:textId="01B59FE8" w:rsidR="001564A4" w:rsidRPr="00A70058" w:rsidRDefault="001564A4" w:rsidP="63046B47">
            <w:pP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</w:pPr>
            <w:r w:rsidRPr="00A70058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41E44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UQ Thoracic Research Centre, The University of Queensland; Thoracic Program, The Prince Charles Hospital, Chermside, Queensland, Australia</w:t>
            </w:r>
          </w:p>
          <w:p w14:paraId="57A0FC5B" w14:textId="742153B0" w:rsidR="00383A55" w:rsidRPr="00A70058" w:rsidRDefault="00383A55" w:rsidP="310AC6EC">
            <w:pP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</w:pPr>
            <w:r w:rsidRPr="00A70058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</w:t>
            </w:r>
            <w:r w:rsidR="00F44A4F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Thoracic Medicine Program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F44A4F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The Prin</w:t>
            </w:r>
            <w:r w:rsidR="5286C51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ce</w:t>
            </w:r>
            <w:r w:rsidR="00F44A4F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Charles Hospital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 Chermside, Queensland, Australia</w:t>
            </w:r>
          </w:p>
          <w:p w14:paraId="5DE9199E" w14:textId="3D947DC7" w:rsidR="002D0B4F" w:rsidRPr="00A70058" w:rsidRDefault="00383A55" w:rsidP="05CF0681">
            <w:pP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</w:pPr>
            <w:r w:rsidRPr="00A70058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 w:rsidR="002D0B4F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Department of Cardiothoracic Surgery, The Prince Charles Hospital, Chermside, Queensland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2D0B4F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Australia</w:t>
            </w:r>
          </w:p>
          <w:p w14:paraId="45ED36BF" w14:textId="44BC26A3" w:rsidR="00383A55" w:rsidRPr="0050053A" w:rsidRDefault="00383A55" w:rsidP="05CF0681">
            <w:pPr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A70058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Pathology Queensland, The Prince Charles Hospital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Chermside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, </w:t>
            </w:r>
            <w:r w:rsidR="00A70058" w:rsidRPr="00A70058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Queensland, Australia</w:t>
            </w:r>
          </w:p>
        </w:tc>
      </w:tr>
      <w:tr w:rsidR="001564A4" w:rsidRPr="0050053A" w14:paraId="6DAF615A" w14:textId="77777777" w:rsidTr="00A70058">
        <w:trPr>
          <w:trHeight w:val="13457"/>
        </w:trPr>
        <w:tc>
          <w:tcPr>
            <w:tcW w:w="8784" w:type="dxa"/>
          </w:tcPr>
          <w:p w14:paraId="739E7937" w14:textId="77777777" w:rsidR="001564A4" w:rsidRPr="00A70058" w:rsidRDefault="001564A4" w:rsidP="00152F02">
            <w:pPr>
              <w:pStyle w:val="Pa12"/>
              <w:spacing w:line="240" w:lineRule="auto"/>
              <w:rPr>
                <w:rStyle w:val="A4"/>
              </w:rPr>
            </w:pPr>
            <w:r w:rsidRPr="00A70058">
              <w:rPr>
                <w:rStyle w:val="A4"/>
                <w:b/>
                <w:bCs/>
              </w:rPr>
              <w:lastRenderedPageBreak/>
              <w:t xml:space="preserve">Introduction/Aim: </w:t>
            </w:r>
          </w:p>
          <w:p w14:paraId="3AF32705" w14:textId="5191C6D0" w:rsidR="00A97884" w:rsidRPr="00A70058" w:rsidRDefault="5949012A" w:rsidP="00A70058">
            <w:pPr>
              <w:pStyle w:val="Pa12"/>
              <w:spacing w:line="240" w:lineRule="auto"/>
              <w:rPr>
                <w:rStyle w:val="A4"/>
              </w:rPr>
            </w:pPr>
            <w:r w:rsidRPr="00A70058">
              <w:rPr>
                <w:sz w:val="22"/>
                <w:szCs w:val="22"/>
              </w:rPr>
              <w:t xml:space="preserve">The Prince Charles Hospital (TPCH) </w:t>
            </w:r>
            <w:r w:rsidR="014F8851" w:rsidRPr="00A70058">
              <w:rPr>
                <w:sz w:val="22"/>
                <w:szCs w:val="22"/>
              </w:rPr>
              <w:t>U</w:t>
            </w:r>
            <w:r w:rsidR="5487AD6B" w:rsidRPr="00A70058">
              <w:rPr>
                <w:sz w:val="22"/>
                <w:szCs w:val="22"/>
              </w:rPr>
              <w:t xml:space="preserve">niversity of QLD Thoracic Research Centre (UQTRC) </w:t>
            </w:r>
            <w:r w:rsidRPr="00A70058">
              <w:rPr>
                <w:sz w:val="22"/>
                <w:szCs w:val="22"/>
              </w:rPr>
              <w:t xml:space="preserve">Lung Bank is a </w:t>
            </w:r>
            <w:r w:rsidR="5487AD6B" w:rsidRPr="00A70058">
              <w:rPr>
                <w:sz w:val="22"/>
                <w:szCs w:val="22"/>
              </w:rPr>
              <w:t>Biorepository of lung cancer and associated biospec</w:t>
            </w:r>
            <w:r w:rsidRPr="00A70058">
              <w:rPr>
                <w:sz w:val="22"/>
                <w:szCs w:val="22"/>
              </w:rPr>
              <w:t xml:space="preserve">imens </w:t>
            </w:r>
            <w:r w:rsidR="1354C6F8" w:rsidRPr="00A70058">
              <w:rPr>
                <w:sz w:val="22"/>
                <w:szCs w:val="22"/>
              </w:rPr>
              <w:t xml:space="preserve">donated by </w:t>
            </w:r>
            <w:r w:rsidR="5CFC42A1" w:rsidRPr="00A70058">
              <w:rPr>
                <w:sz w:val="22"/>
                <w:szCs w:val="22"/>
              </w:rPr>
              <w:t>participants</w:t>
            </w:r>
            <w:r w:rsidR="1354C6F8" w:rsidRPr="00A70058">
              <w:rPr>
                <w:sz w:val="22"/>
                <w:szCs w:val="22"/>
              </w:rPr>
              <w:t xml:space="preserve"> undergoing </w:t>
            </w:r>
            <w:r w:rsidR="6CCF0E35" w:rsidRPr="00A70058">
              <w:rPr>
                <w:sz w:val="22"/>
                <w:szCs w:val="22"/>
              </w:rPr>
              <w:t>treatment</w:t>
            </w:r>
            <w:r w:rsidR="1354C6F8" w:rsidRPr="00A70058">
              <w:rPr>
                <w:sz w:val="22"/>
                <w:szCs w:val="22"/>
              </w:rPr>
              <w:t xml:space="preserve"> for lung disease </w:t>
            </w:r>
            <w:r w:rsidR="584D3BFA" w:rsidRPr="00A70058">
              <w:rPr>
                <w:sz w:val="22"/>
                <w:szCs w:val="22"/>
              </w:rPr>
              <w:t xml:space="preserve">and </w:t>
            </w:r>
            <w:r w:rsidR="1354C6F8" w:rsidRPr="00A70058">
              <w:rPr>
                <w:sz w:val="22"/>
                <w:szCs w:val="22"/>
              </w:rPr>
              <w:t xml:space="preserve">lung </w:t>
            </w:r>
            <w:r w:rsidR="5CFC42A1" w:rsidRPr="00A70058">
              <w:rPr>
                <w:sz w:val="22"/>
                <w:szCs w:val="22"/>
              </w:rPr>
              <w:t>cancer</w:t>
            </w:r>
            <w:r w:rsidR="08D3B9B7" w:rsidRPr="00A70058">
              <w:rPr>
                <w:sz w:val="22"/>
                <w:szCs w:val="22"/>
              </w:rPr>
              <w:t>.</w:t>
            </w:r>
            <w:r w:rsidR="039BC941" w:rsidRPr="00A70058">
              <w:rPr>
                <w:sz w:val="22"/>
                <w:szCs w:val="22"/>
              </w:rPr>
              <w:t xml:space="preserve"> The Lung bank enables </w:t>
            </w:r>
            <w:r w:rsidR="30A6BCD8" w:rsidRPr="00A70058">
              <w:rPr>
                <w:sz w:val="22"/>
                <w:szCs w:val="22"/>
              </w:rPr>
              <w:t>collaborative</w:t>
            </w:r>
            <w:r w:rsidR="5CFC42A1" w:rsidRPr="00A70058">
              <w:rPr>
                <w:sz w:val="22"/>
                <w:szCs w:val="22"/>
              </w:rPr>
              <w:t xml:space="preserve"> </w:t>
            </w:r>
            <w:r w:rsidRPr="00A70058">
              <w:rPr>
                <w:sz w:val="22"/>
                <w:szCs w:val="22"/>
              </w:rPr>
              <w:t>research projects</w:t>
            </w:r>
            <w:r w:rsidR="5CFC42A1" w:rsidRPr="00A70058">
              <w:rPr>
                <w:sz w:val="22"/>
                <w:szCs w:val="22"/>
              </w:rPr>
              <w:t xml:space="preserve"> aimed to</w:t>
            </w:r>
            <w:r w:rsidRPr="00A70058">
              <w:rPr>
                <w:sz w:val="22"/>
                <w:szCs w:val="22"/>
              </w:rPr>
              <w:t xml:space="preserve"> improve outcomes for patients with lung disease. </w:t>
            </w:r>
            <w:r w:rsidR="6C648FAF" w:rsidRPr="00A70058">
              <w:rPr>
                <w:sz w:val="22"/>
                <w:szCs w:val="22"/>
              </w:rPr>
              <w:t>The National Cancer Institute (NCI)</w:t>
            </w:r>
            <w:r w:rsidR="723FD02C" w:rsidRPr="00A70058">
              <w:rPr>
                <w:sz w:val="22"/>
                <w:szCs w:val="22"/>
              </w:rPr>
              <w:t xml:space="preserve"> </w:t>
            </w:r>
            <w:r w:rsidR="6280E606" w:rsidRPr="00A70058">
              <w:rPr>
                <w:sz w:val="22"/>
                <w:szCs w:val="22"/>
              </w:rPr>
              <w:t>Sherlock-Lung: Tracing Lung Cancer Mutational Processes in Never Smokers</w:t>
            </w:r>
            <w:r w:rsidR="50866489" w:rsidRPr="00A70058">
              <w:rPr>
                <w:sz w:val="22"/>
                <w:szCs w:val="22"/>
              </w:rPr>
              <w:t xml:space="preserve"> </w:t>
            </w:r>
            <w:r w:rsidR="7F7FBECA" w:rsidRPr="00A70058">
              <w:rPr>
                <w:sz w:val="22"/>
                <w:szCs w:val="22"/>
              </w:rPr>
              <w:t xml:space="preserve">study </w:t>
            </w:r>
            <w:r w:rsidR="7C02CB82" w:rsidRPr="00A70058">
              <w:rPr>
                <w:sz w:val="22"/>
                <w:szCs w:val="22"/>
              </w:rPr>
              <w:t xml:space="preserve">aims to </w:t>
            </w:r>
            <w:r w:rsidR="7C02CB82" w:rsidRPr="00A70058">
              <w:rPr>
                <w:rStyle w:val="A4"/>
              </w:rPr>
              <w:t xml:space="preserve">trace lung cancer </w:t>
            </w:r>
            <w:r w:rsidR="08BC4550" w:rsidRPr="00A70058">
              <w:rPr>
                <w:rStyle w:val="A4"/>
              </w:rPr>
              <w:t>aetiology</w:t>
            </w:r>
            <w:r w:rsidR="7C02CB82" w:rsidRPr="00A70058">
              <w:rPr>
                <w:rStyle w:val="A4"/>
              </w:rPr>
              <w:t xml:space="preserve"> in never smokers by </w:t>
            </w:r>
            <w:r w:rsidR="410D59E7" w:rsidRPr="00A70058">
              <w:rPr>
                <w:rStyle w:val="A4"/>
              </w:rPr>
              <w:t>analys</w:t>
            </w:r>
            <w:r w:rsidR="7C02CB82" w:rsidRPr="00A70058">
              <w:rPr>
                <w:rStyle w:val="A4"/>
              </w:rPr>
              <w:t xml:space="preserve">ing genomic data in </w:t>
            </w:r>
            <w:r w:rsidR="358428BE" w:rsidRPr="00A70058">
              <w:rPr>
                <w:rStyle w:val="A4"/>
              </w:rPr>
              <w:t>tumour</w:t>
            </w:r>
            <w:r w:rsidR="7C02CB82" w:rsidRPr="00A70058">
              <w:rPr>
                <w:rStyle w:val="A4"/>
              </w:rPr>
              <w:t xml:space="preserve"> and surrounding lung tissue</w:t>
            </w:r>
            <w:r w:rsidR="03C4F958" w:rsidRPr="00A70058">
              <w:rPr>
                <w:rStyle w:val="A4"/>
              </w:rPr>
              <w:t>,</w:t>
            </w:r>
            <w:r w:rsidR="7C02CB82" w:rsidRPr="00A70058">
              <w:rPr>
                <w:rStyle w:val="A4"/>
              </w:rPr>
              <w:t xml:space="preserve"> to which we have the privilege of contributing </w:t>
            </w:r>
            <w:r w:rsidR="101FD873" w:rsidRPr="00A70058">
              <w:rPr>
                <w:rStyle w:val="A4"/>
              </w:rPr>
              <w:t>bio</w:t>
            </w:r>
            <w:r w:rsidR="00465327">
              <w:rPr>
                <w:rStyle w:val="A4"/>
              </w:rPr>
              <w:t>-</w:t>
            </w:r>
            <w:r w:rsidR="101FD873" w:rsidRPr="00A70058">
              <w:rPr>
                <w:rStyle w:val="A4"/>
              </w:rPr>
              <w:t>s</w:t>
            </w:r>
            <w:r w:rsidR="7C02CB82" w:rsidRPr="00A70058">
              <w:rPr>
                <w:rStyle w:val="A4"/>
              </w:rPr>
              <w:t>amples.</w:t>
            </w:r>
          </w:p>
          <w:p w14:paraId="1B39336E" w14:textId="77777777" w:rsidR="001564A4" w:rsidRPr="00A70058" w:rsidRDefault="001564A4" w:rsidP="00152F02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A70058">
              <w:rPr>
                <w:rStyle w:val="A4"/>
                <w:b/>
                <w:bCs/>
              </w:rPr>
              <w:t xml:space="preserve">Methods: </w:t>
            </w:r>
          </w:p>
          <w:p w14:paraId="74F17060" w14:textId="5447D77C" w:rsidR="63046B47" w:rsidRPr="00A70058" w:rsidRDefault="0061318B" w:rsidP="00A70058">
            <w:pPr>
              <w:pStyle w:val="Default"/>
              <w:rPr>
                <w:rStyle w:val="A4"/>
              </w:rPr>
            </w:pPr>
            <w:r w:rsidRPr="00A70058">
              <w:rPr>
                <w:sz w:val="22"/>
                <w:szCs w:val="22"/>
              </w:rPr>
              <w:t xml:space="preserve">The study will include 2,000 never-smoking lung cancer patients, a subset (n=~300) with “special exposures,” such as indoor and outdoor air pollution, radon, asbestos, previous lung diseases. Whole genome sequencing, whole transcriptome, genome-wide methylation, and microbiome data </w:t>
            </w:r>
            <w:r w:rsidR="6A9841E8" w:rsidRPr="00A70058">
              <w:rPr>
                <w:sz w:val="22"/>
                <w:szCs w:val="22"/>
              </w:rPr>
              <w:t>will be</w:t>
            </w:r>
            <w:r w:rsidRPr="00A70058">
              <w:rPr>
                <w:sz w:val="22"/>
                <w:szCs w:val="22"/>
              </w:rPr>
              <w:t xml:space="preserve"> </w:t>
            </w:r>
            <w:r w:rsidR="1C03E2B4" w:rsidRPr="00A70058">
              <w:rPr>
                <w:sz w:val="22"/>
                <w:szCs w:val="22"/>
              </w:rPr>
              <w:t>analysed</w:t>
            </w:r>
            <w:r w:rsidRPr="00A70058">
              <w:rPr>
                <w:sz w:val="22"/>
                <w:szCs w:val="22"/>
              </w:rPr>
              <w:t xml:space="preserve">. </w:t>
            </w:r>
            <w:r w:rsidR="002F520C" w:rsidRPr="00A70058">
              <w:rPr>
                <w:sz w:val="22"/>
                <w:szCs w:val="22"/>
              </w:rPr>
              <w:t xml:space="preserve">Eligible </w:t>
            </w:r>
            <w:r w:rsidR="009C6AB4" w:rsidRPr="00A70058">
              <w:rPr>
                <w:sz w:val="22"/>
                <w:szCs w:val="22"/>
              </w:rPr>
              <w:t xml:space="preserve">TPCH UQTRC Lung Bank </w:t>
            </w:r>
            <w:r w:rsidR="000B6B74" w:rsidRPr="00A70058">
              <w:rPr>
                <w:sz w:val="22"/>
                <w:szCs w:val="22"/>
              </w:rPr>
              <w:t xml:space="preserve">cases </w:t>
            </w:r>
            <w:r w:rsidR="1ACE7BE3" w:rsidRPr="00A70058">
              <w:rPr>
                <w:sz w:val="22"/>
                <w:szCs w:val="22"/>
              </w:rPr>
              <w:t>were</w:t>
            </w:r>
            <w:r w:rsidR="002F520C" w:rsidRPr="00A70058">
              <w:rPr>
                <w:sz w:val="22"/>
                <w:szCs w:val="22"/>
              </w:rPr>
              <w:t xml:space="preserve"> selected</w:t>
            </w:r>
            <w:r w:rsidR="1FE579B3" w:rsidRPr="00A70058">
              <w:rPr>
                <w:sz w:val="22"/>
                <w:szCs w:val="22"/>
              </w:rPr>
              <w:t>, providing</w:t>
            </w:r>
            <w:r w:rsidR="00BD4115" w:rsidRPr="00A70058">
              <w:rPr>
                <w:sz w:val="22"/>
                <w:szCs w:val="22"/>
              </w:rPr>
              <w:t xml:space="preserve"> </w:t>
            </w:r>
            <w:r w:rsidR="00D515C7" w:rsidRPr="00A70058">
              <w:rPr>
                <w:sz w:val="22"/>
                <w:szCs w:val="22"/>
              </w:rPr>
              <w:t>Fresh Frozen tumour tissue from surgery</w:t>
            </w:r>
            <w:r w:rsidR="00BD4115" w:rsidRPr="00A70058">
              <w:rPr>
                <w:sz w:val="22"/>
                <w:szCs w:val="22"/>
              </w:rPr>
              <w:t xml:space="preserve">, </w:t>
            </w:r>
            <w:r w:rsidR="00D515C7" w:rsidRPr="00A70058">
              <w:rPr>
                <w:sz w:val="22"/>
                <w:szCs w:val="22"/>
              </w:rPr>
              <w:t>H&amp;E slides</w:t>
            </w:r>
            <w:r w:rsidR="00BD4115" w:rsidRPr="00A70058">
              <w:rPr>
                <w:sz w:val="22"/>
                <w:szCs w:val="22"/>
              </w:rPr>
              <w:t xml:space="preserve">, </w:t>
            </w:r>
            <w:r w:rsidR="00D515C7" w:rsidRPr="00A70058">
              <w:rPr>
                <w:sz w:val="22"/>
                <w:szCs w:val="22"/>
              </w:rPr>
              <w:t xml:space="preserve">Pathological </w:t>
            </w:r>
            <w:r w:rsidR="3DA1B9DB" w:rsidRPr="00A70058">
              <w:rPr>
                <w:sz w:val="22"/>
                <w:szCs w:val="22"/>
              </w:rPr>
              <w:t>and</w:t>
            </w:r>
            <w:r w:rsidR="00BD4115" w:rsidRPr="00A70058">
              <w:rPr>
                <w:sz w:val="22"/>
                <w:szCs w:val="22"/>
              </w:rPr>
              <w:t xml:space="preserve"> </w:t>
            </w:r>
            <w:r w:rsidR="00333CCA" w:rsidRPr="00A70058">
              <w:rPr>
                <w:sz w:val="22"/>
                <w:szCs w:val="22"/>
              </w:rPr>
              <w:t>R</w:t>
            </w:r>
            <w:r w:rsidR="00D515C7" w:rsidRPr="00A70058">
              <w:rPr>
                <w:sz w:val="22"/>
                <w:szCs w:val="22"/>
              </w:rPr>
              <w:t>adiological Data</w:t>
            </w:r>
            <w:r w:rsidR="07BBC524" w:rsidRPr="00A70058">
              <w:rPr>
                <w:sz w:val="22"/>
                <w:szCs w:val="22"/>
              </w:rPr>
              <w:t>;</w:t>
            </w:r>
            <w:r w:rsidR="00333CCA" w:rsidRPr="00A70058">
              <w:rPr>
                <w:sz w:val="22"/>
                <w:szCs w:val="22"/>
              </w:rPr>
              <w:t xml:space="preserve"> </w:t>
            </w:r>
            <w:r w:rsidR="00D515C7" w:rsidRPr="00A70058">
              <w:rPr>
                <w:sz w:val="22"/>
                <w:szCs w:val="22"/>
              </w:rPr>
              <w:t xml:space="preserve">Epidemiological </w:t>
            </w:r>
            <w:r w:rsidR="00AD5E0F" w:rsidRPr="00A70058">
              <w:rPr>
                <w:sz w:val="22"/>
                <w:szCs w:val="22"/>
              </w:rPr>
              <w:t>D</w:t>
            </w:r>
            <w:r w:rsidR="00D515C7" w:rsidRPr="00A70058">
              <w:rPr>
                <w:sz w:val="22"/>
                <w:szCs w:val="22"/>
              </w:rPr>
              <w:t xml:space="preserve">ata (demographics, medical </w:t>
            </w:r>
            <w:r w:rsidR="13C4CF2B" w:rsidRPr="00A70058">
              <w:rPr>
                <w:sz w:val="22"/>
                <w:szCs w:val="22"/>
              </w:rPr>
              <w:t>and</w:t>
            </w:r>
            <w:r w:rsidR="00D515C7" w:rsidRPr="00A70058">
              <w:rPr>
                <w:sz w:val="22"/>
                <w:szCs w:val="22"/>
              </w:rPr>
              <w:t xml:space="preserve"> lung health history, personal/family cancer history, smoking, occupational</w:t>
            </w:r>
            <w:r w:rsidR="2CC26A79" w:rsidRPr="00A70058">
              <w:rPr>
                <w:sz w:val="22"/>
                <w:szCs w:val="22"/>
              </w:rPr>
              <w:t xml:space="preserve"> and </w:t>
            </w:r>
            <w:r w:rsidR="00D515C7" w:rsidRPr="00A70058">
              <w:rPr>
                <w:sz w:val="22"/>
                <w:szCs w:val="22"/>
              </w:rPr>
              <w:t>environmental exposures)</w:t>
            </w:r>
            <w:r w:rsidR="69970E02" w:rsidRPr="00A70058">
              <w:rPr>
                <w:sz w:val="22"/>
                <w:szCs w:val="22"/>
              </w:rPr>
              <w:t>;</w:t>
            </w:r>
            <w:r w:rsidR="00333CCA" w:rsidRPr="00A70058">
              <w:rPr>
                <w:sz w:val="22"/>
                <w:szCs w:val="22"/>
              </w:rPr>
              <w:t xml:space="preserve"> </w:t>
            </w:r>
            <w:r w:rsidR="00D515C7" w:rsidRPr="00A70058">
              <w:rPr>
                <w:sz w:val="22"/>
                <w:szCs w:val="22"/>
              </w:rPr>
              <w:t>Clinical Data (pathological histology, stage, grade, local recurrences, metastases</w:t>
            </w:r>
            <w:r w:rsidR="00606B98" w:rsidRPr="00A70058">
              <w:rPr>
                <w:sz w:val="22"/>
                <w:szCs w:val="22"/>
              </w:rPr>
              <w:t xml:space="preserve">, survival, </w:t>
            </w:r>
            <w:r w:rsidR="0C301260" w:rsidRPr="00A70058">
              <w:rPr>
                <w:sz w:val="22"/>
                <w:szCs w:val="22"/>
              </w:rPr>
              <w:t>and</w:t>
            </w:r>
            <w:r w:rsidR="00606B98" w:rsidRPr="00A70058">
              <w:rPr>
                <w:sz w:val="22"/>
                <w:szCs w:val="22"/>
              </w:rPr>
              <w:t xml:space="preserve"> treatment</w:t>
            </w:r>
            <w:r w:rsidR="6EC0EC72" w:rsidRPr="00A70058">
              <w:rPr>
                <w:sz w:val="22"/>
                <w:szCs w:val="22"/>
              </w:rPr>
              <w:t>)</w:t>
            </w:r>
            <w:r w:rsidR="24EEFA2D" w:rsidRPr="00A70058">
              <w:rPr>
                <w:sz w:val="22"/>
                <w:szCs w:val="22"/>
              </w:rPr>
              <w:t>.</w:t>
            </w:r>
          </w:p>
          <w:p w14:paraId="00533965" w14:textId="485BE41D" w:rsidR="001564A4" w:rsidRPr="00A70058" w:rsidRDefault="001564A4" w:rsidP="00152F02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A70058">
              <w:rPr>
                <w:rStyle w:val="A4"/>
                <w:b/>
                <w:bCs/>
              </w:rPr>
              <w:t>Results:</w:t>
            </w:r>
          </w:p>
          <w:p w14:paraId="242273E1" w14:textId="70A109ED" w:rsidR="63046B47" w:rsidRPr="00A70058" w:rsidRDefault="004437A2" w:rsidP="00A70058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A70058">
              <w:rPr>
                <w:sz w:val="22"/>
                <w:szCs w:val="22"/>
              </w:rPr>
              <w:t xml:space="preserve">From a Lung Bank of </w:t>
            </w:r>
            <w:r w:rsidR="28B602CC" w:rsidRPr="00A70058">
              <w:rPr>
                <w:sz w:val="22"/>
                <w:szCs w:val="22"/>
              </w:rPr>
              <w:t xml:space="preserve">1567 </w:t>
            </w:r>
            <w:r w:rsidRPr="00A70058">
              <w:rPr>
                <w:sz w:val="22"/>
                <w:szCs w:val="22"/>
              </w:rPr>
              <w:t>resected lung lesions, we identified 1</w:t>
            </w:r>
            <w:r w:rsidR="002F520C" w:rsidRPr="00A70058">
              <w:rPr>
                <w:sz w:val="22"/>
                <w:szCs w:val="22"/>
              </w:rPr>
              <w:t xml:space="preserve">03 </w:t>
            </w:r>
            <w:r w:rsidR="69FA75C2" w:rsidRPr="00A70058">
              <w:rPr>
                <w:sz w:val="22"/>
                <w:szCs w:val="22"/>
              </w:rPr>
              <w:t>eligible</w:t>
            </w:r>
            <w:r w:rsidR="00C33B3C" w:rsidRPr="00A70058">
              <w:rPr>
                <w:sz w:val="22"/>
                <w:szCs w:val="22"/>
              </w:rPr>
              <w:t xml:space="preserve"> </w:t>
            </w:r>
            <w:r w:rsidR="002F520C" w:rsidRPr="00A70058">
              <w:rPr>
                <w:sz w:val="22"/>
                <w:szCs w:val="22"/>
              </w:rPr>
              <w:t>primary lung cancer</w:t>
            </w:r>
            <w:r w:rsidR="70610C26" w:rsidRPr="00A70058">
              <w:rPr>
                <w:sz w:val="22"/>
                <w:szCs w:val="22"/>
              </w:rPr>
              <w:t xml:space="preserve"> cases</w:t>
            </w:r>
            <w:r w:rsidR="2B241777" w:rsidRPr="00A70058">
              <w:rPr>
                <w:sz w:val="22"/>
                <w:szCs w:val="22"/>
              </w:rPr>
              <w:t xml:space="preserve"> to contribute to</w:t>
            </w:r>
            <w:r w:rsidR="561ACEF7" w:rsidRPr="00A70058">
              <w:rPr>
                <w:sz w:val="22"/>
                <w:szCs w:val="22"/>
              </w:rPr>
              <w:t xml:space="preserve"> the Sherlock Study</w:t>
            </w:r>
            <w:r w:rsidR="11FBF641" w:rsidRPr="00A70058">
              <w:rPr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3"/>
              <w:gridCol w:w="1418"/>
              <w:gridCol w:w="1417"/>
              <w:gridCol w:w="1310"/>
            </w:tblGrid>
            <w:tr w:rsidR="00E614F8" w:rsidRPr="00A70058" w14:paraId="64F9C62E" w14:textId="77777777" w:rsidTr="00A70058">
              <w:trPr>
                <w:trHeight w:hRule="exact" w:val="810"/>
              </w:trPr>
              <w:tc>
                <w:tcPr>
                  <w:tcW w:w="4413" w:type="dxa"/>
                </w:tcPr>
                <w:p w14:paraId="5C47FAB8" w14:textId="77777777" w:rsidR="00E614F8" w:rsidRPr="00A70058" w:rsidRDefault="00E614F8" w:rsidP="00AD5E0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06A4DE4" w14:textId="59B3A8E1" w:rsidR="00E614F8" w:rsidRPr="00A70058" w:rsidRDefault="00E614F8" w:rsidP="00A7005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Never smoker cancers</w:t>
                  </w:r>
                </w:p>
              </w:tc>
              <w:tc>
                <w:tcPr>
                  <w:tcW w:w="1417" w:type="dxa"/>
                </w:tcPr>
                <w:p w14:paraId="193B16FF" w14:textId="749295B9" w:rsidR="00E614F8" w:rsidRPr="00A70058" w:rsidRDefault="00E614F8" w:rsidP="00A7005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Cancers in people who smoked</w:t>
                  </w:r>
                </w:p>
              </w:tc>
              <w:tc>
                <w:tcPr>
                  <w:tcW w:w="1310" w:type="dxa"/>
                </w:tcPr>
                <w:p w14:paraId="0AEDEF16" w14:textId="0EA33E14" w:rsidR="00E614F8" w:rsidRPr="00A70058" w:rsidRDefault="00E614F8" w:rsidP="00A7005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Total</w:t>
                  </w:r>
                </w:p>
              </w:tc>
            </w:tr>
            <w:tr w:rsidR="63046B47" w:rsidRPr="00A70058" w14:paraId="079A0C2A" w14:textId="77777777" w:rsidTr="00A70058">
              <w:trPr>
                <w:trHeight w:hRule="exact" w:val="389"/>
              </w:trPr>
              <w:tc>
                <w:tcPr>
                  <w:tcW w:w="4413" w:type="dxa"/>
                </w:tcPr>
                <w:p w14:paraId="5E5E94F3" w14:textId="165B4E67" w:rsidR="7905E7E7" w:rsidRPr="00A70058" w:rsidRDefault="7905E7E7" w:rsidP="63046B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 xml:space="preserve">Lung Bank contribution to </w:t>
                  </w:r>
                  <w:r w:rsidR="2B559091" w:rsidRPr="00A70058">
                    <w:rPr>
                      <w:sz w:val="20"/>
                      <w:szCs w:val="20"/>
                    </w:rPr>
                    <w:t>Sherlock</w:t>
                  </w:r>
                  <w:r w:rsidR="06219359" w:rsidRPr="00A70058">
                    <w:rPr>
                      <w:sz w:val="20"/>
                      <w:szCs w:val="20"/>
                    </w:rPr>
                    <w:t xml:space="preserve"> Study</w:t>
                  </w:r>
                </w:p>
              </w:tc>
              <w:tc>
                <w:tcPr>
                  <w:tcW w:w="1418" w:type="dxa"/>
                </w:tcPr>
                <w:p w14:paraId="78B85D4B" w14:textId="572763D9" w:rsidR="2B559091" w:rsidRPr="00A70058" w:rsidRDefault="2B559091" w:rsidP="63046B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17" w:type="dxa"/>
                </w:tcPr>
                <w:p w14:paraId="6ABAD2D5" w14:textId="7FBDA5A1" w:rsidR="2B559091" w:rsidRPr="00A70058" w:rsidRDefault="2B559091" w:rsidP="63046B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310" w:type="dxa"/>
                </w:tcPr>
                <w:p w14:paraId="48E6F764" w14:textId="7FCB1B07" w:rsidR="2B559091" w:rsidRPr="00A70058" w:rsidRDefault="2B559091" w:rsidP="63046B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103</w:t>
                  </w:r>
                </w:p>
              </w:tc>
            </w:tr>
            <w:tr w:rsidR="00E614F8" w:rsidRPr="00A70058" w14:paraId="73411184" w14:textId="77777777" w:rsidTr="00A70058">
              <w:trPr>
                <w:trHeight w:hRule="exact" w:val="422"/>
              </w:trPr>
              <w:tc>
                <w:tcPr>
                  <w:tcW w:w="4413" w:type="dxa"/>
                </w:tcPr>
                <w:p w14:paraId="5D34AC79" w14:textId="07747722" w:rsidR="00E614F8" w:rsidRPr="00A70058" w:rsidRDefault="00E614F8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Adenocarcinoma</w:t>
                  </w:r>
                </w:p>
              </w:tc>
              <w:tc>
                <w:tcPr>
                  <w:tcW w:w="1418" w:type="dxa"/>
                </w:tcPr>
                <w:p w14:paraId="48C98F06" w14:textId="40DD9E31" w:rsidR="00E614F8" w:rsidRPr="00A70058" w:rsidRDefault="1381E307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17" w:type="dxa"/>
                </w:tcPr>
                <w:p w14:paraId="7780B6B0" w14:textId="203F56A3" w:rsidR="00E614F8" w:rsidRPr="00A70058" w:rsidRDefault="1381E307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310" w:type="dxa"/>
                </w:tcPr>
                <w:p w14:paraId="1FED7227" w14:textId="17BF4205" w:rsidR="00E614F8" w:rsidRPr="00A70058" w:rsidRDefault="1381E307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91</w:t>
                  </w:r>
                </w:p>
              </w:tc>
            </w:tr>
            <w:tr w:rsidR="00E614F8" w:rsidRPr="00A70058" w14:paraId="5B3C645C" w14:textId="77777777" w:rsidTr="00A70058">
              <w:trPr>
                <w:trHeight w:hRule="exact" w:val="429"/>
              </w:trPr>
              <w:tc>
                <w:tcPr>
                  <w:tcW w:w="4413" w:type="dxa"/>
                </w:tcPr>
                <w:p w14:paraId="2249DC82" w14:textId="27B6C3ED" w:rsidR="00E614F8" w:rsidRPr="00A70058" w:rsidRDefault="00E614F8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Other (Squamous cell carcinoma, large cell)</w:t>
                  </w:r>
                </w:p>
              </w:tc>
              <w:tc>
                <w:tcPr>
                  <w:tcW w:w="1418" w:type="dxa"/>
                </w:tcPr>
                <w:p w14:paraId="069D1BE8" w14:textId="5C918B75" w:rsidR="00E614F8" w:rsidRPr="00A70058" w:rsidRDefault="0236EDA3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</w:tcPr>
                <w:p w14:paraId="54443AFE" w14:textId="1D7CCB3F" w:rsidR="00E614F8" w:rsidRPr="00A70058" w:rsidRDefault="0236EDA3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</w:tcPr>
                <w:p w14:paraId="58980674" w14:textId="292646C2" w:rsidR="00E614F8" w:rsidRPr="00A70058" w:rsidRDefault="0236EDA3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E614F8" w:rsidRPr="00A70058" w14:paraId="3FC2CC65" w14:textId="77777777" w:rsidTr="00A70058">
              <w:trPr>
                <w:trHeight w:hRule="exact" w:val="421"/>
              </w:trPr>
              <w:tc>
                <w:tcPr>
                  <w:tcW w:w="4413" w:type="dxa"/>
                </w:tcPr>
                <w:p w14:paraId="36E2FD8E" w14:textId="2AA33185" w:rsidR="00E614F8" w:rsidRPr="00A70058" w:rsidRDefault="00AF046C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1418" w:type="dxa"/>
                </w:tcPr>
                <w:p w14:paraId="3D260C26" w14:textId="7D53439A" w:rsidR="00E614F8" w:rsidRPr="00A70058" w:rsidRDefault="7E8DBD39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17" w:type="dxa"/>
                </w:tcPr>
                <w:p w14:paraId="77ACE64B" w14:textId="64F4A5D6" w:rsidR="00E614F8" w:rsidRPr="00A70058" w:rsidRDefault="3864E5DF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310" w:type="dxa"/>
                </w:tcPr>
                <w:p w14:paraId="3F0BB8F1" w14:textId="651CFB12" w:rsidR="00E614F8" w:rsidRPr="00A70058" w:rsidRDefault="5197352C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50</w:t>
                  </w:r>
                </w:p>
              </w:tc>
            </w:tr>
            <w:tr w:rsidR="00E614F8" w:rsidRPr="00A70058" w14:paraId="7F00F052" w14:textId="77777777" w:rsidTr="00A70058">
              <w:trPr>
                <w:trHeight w:hRule="exact" w:val="427"/>
              </w:trPr>
              <w:tc>
                <w:tcPr>
                  <w:tcW w:w="4413" w:type="dxa"/>
                </w:tcPr>
                <w:p w14:paraId="2F28062D" w14:textId="03ADE616" w:rsidR="00E614F8" w:rsidRPr="00A70058" w:rsidRDefault="00AF046C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Femal</w:t>
                  </w:r>
                  <w:r w:rsidR="00A71908" w:rsidRPr="00A70058">
                    <w:rPr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18" w:type="dxa"/>
                </w:tcPr>
                <w:p w14:paraId="2D81AAC4" w14:textId="31B87FEC" w:rsidR="00E614F8" w:rsidRPr="00A70058" w:rsidRDefault="77D43A73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17" w:type="dxa"/>
                </w:tcPr>
                <w:p w14:paraId="6280E071" w14:textId="1765A41B" w:rsidR="00E614F8" w:rsidRPr="00A70058" w:rsidRDefault="28D6D2DA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10" w:type="dxa"/>
                </w:tcPr>
                <w:p w14:paraId="052F3495" w14:textId="5E7A5C8E" w:rsidR="00E614F8" w:rsidRPr="00A70058" w:rsidRDefault="25522F26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53</w:t>
                  </w:r>
                </w:p>
              </w:tc>
            </w:tr>
            <w:tr w:rsidR="00E614F8" w:rsidRPr="00A70058" w14:paraId="710CAECE" w14:textId="77777777" w:rsidTr="00A70058">
              <w:trPr>
                <w:trHeight w:hRule="exact" w:val="432"/>
              </w:trPr>
              <w:tc>
                <w:tcPr>
                  <w:tcW w:w="4413" w:type="dxa"/>
                </w:tcPr>
                <w:p w14:paraId="621082D5" w14:textId="357237D3" w:rsidR="00A36AE2" w:rsidRPr="00A70058" w:rsidRDefault="00C6612B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TNM stage</w:t>
                  </w:r>
                  <w:r w:rsidR="40A231CE" w:rsidRPr="00A70058">
                    <w:rPr>
                      <w:sz w:val="20"/>
                      <w:szCs w:val="20"/>
                    </w:rPr>
                    <w:t xml:space="preserve"> - </w:t>
                  </w:r>
                  <w:r w:rsidR="304D023E" w:rsidRPr="00A70058">
                    <w:rPr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8" w:type="dxa"/>
                </w:tcPr>
                <w:p w14:paraId="2E7807C3" w14:textId="40FE2531" w:rsidR="00E614F8" w:rsidRPr="00A70058" w:rsidRDefault="08F7220D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17" w:type="dxa"/>
                </w:tcPr>
                <w:p w14:paraId="4DCE8A46" w14:textId="798300BD" w:rsidR="00E614F8" w:rsidRPr="00A70058" w:rsidRDefault="08F7220D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10" w:type="dxa"/>
                </w:tcPr>
                <w:p w14:paraId="079B6F62" w14:textId="06639393" w:rsidR="00E614F8" w:rsidRPr="00A70058" w:rsidRDefault="24A360E4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47</w:t>
                  </w:r>
                </w:p>
              </w:tc>
            </w:tr>
            <w:tr w:rsidR="00EF21B0" w:rsidRPr="00A70058" w14:paraId="78533B65" w14:textId="77777777" w:rsidTr="00A70058">
              <w:trPr>
                <w:trHeight w:hRule="exact" w:val="425"/>
              </w:trPr>
              <w:tc>
                <w:tcPr>
                  <w:tcW w:w="4413" w:type="dxa"/>
                </w:tcPr>
                <w:p w14:paraId="61B0450E" w14:textId="40B94506" w:rsidR="00EF21B0" w:rsidRPr="00A70058" w:rsidRDefault="18D4F311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TNM stage - I</w:t>
                  </w:r>
                  <w:r w:rsidR="5964AE3A" w:rsidRPr="00A70058">
                    <w:rPr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8" w:type="dxa"/>
                </w:tcPr>
                <w:p w14:paraId="42561143" w14:textId="4142D42F" w:rsidR="00EF21B0" w:rsidRPr="00A70058" w:rsidRDefault="755DE56E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17" w:type="dxa"/>
                </w:tcPr>
                <w:p w14:paraId="7AE115BF" w14:textId="34188D63" w:rsidR="00EF21B0" w:rsidRPr="00A70058" w:rsidRDefault="2F89C70E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</w:t>
                  </w:r>
                  <w:r w:rsidR="3482F470" w:rsidRPr="00A7005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</w:tcPr>
                <w:p w14:paraId="280C3B7F" w14:textId="10447C03" w:rsidR="00EF21B0" w:rsidRPr="00A70058" w:rsidRDefault="7EE6BC00" w:rsidP="00AD5E0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2</w:t>
                  </w:r>
                  <w:r w:rsidR="6D576BCB" w:rsidRPr="00A70058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6DF688C4" w:rsidRPr="00A70058" w14:paraId="1444B05F" w14:textId="77777777" w:rsidTr="00A70058">
              <w:trPr>
                <w:trHeight w:hRule="exact" w:val="417"/>
              </w:trPr>
              <w:tc>
                <w:tcPr>
                  <w:tcW w:w="4413" w:type="dxa"/>
                </w:tcPr>
                <w:p w14:paraId="62E1ED8F" w14:textId="372C5F62" w:rsidR="6DF688C4" w:rsidRPr="00A70058" w:rsidRDefault="3CD71D8C" w:rsidP="6DF688C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TNM stage -</w:t>
                  </w:r>
                  <w:r w:rsidR="697634F5" w:rsidRPr="00A70058">
                    <w:rPr>
                      <w:sz w:val="20"/>
                      <w:szCs w:val="20"/>
                    </w:rPr>
                    <w:t xml:space="preserve"> </w:t>
                  </w:r>
                  <w:r w:rsidRPr="00A70058">
                    <w:rPr>
                      <w:sz w:val="20"/>
                      <w:szCs w:val="20"/>
                    </w:rPr>
                    <w:t>III/IV</w:t>
                  </w:r>
                </w:p>
              </w:tc>
              <w:tc>
                <w:tcPr>
                  <w:tcW w:w="1418" w:type="dxa"/>
                </w:tcPr>
                <w:p w14:paraId="3E87DEB3" w14:textId="6BB55B6B" w:rsidR="6DF688C4" w:rsidRPr="00A70058" w:rsidRDefault="11ECEB89" w:rsidP="6DF688C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14:paraId="3873F57B" w14:textId="3C302CB2" w:rsidR="6DF688C4" w:rsidRPr="00A70058" w:rsidRDefault="11ECEB89" w:rsidP="6DF688C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10" w:type="dxa"/>
                </w:tcPr>
                <w:p w14:paraId="16206DFF" w14:textId="423289FC" w:rsidR="6DF688C4" w:rsidRPr="00A70058" w:rsidRDefault="11ECEB89" w:rsidP="6DF688C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70058">
                    <w:rPr>
                      <w:sz w:val="20"/>
                      <w:szCs w:val="20"/>
                    </w:rPr>
                    <w:t>27</w:t>
                  </w:r>
                </w:p>
              </w:tc>
            </w:tr>
          </w:tbl>
          <w:p w14:paraId="652F7BE1" w14:textId="77777777" w:rsidR="001564A4" w:rsidRPr="00A70058" w:rsidRDefault="001564A4">
            <w:pPr>
              <w:pStyle w:val="Pa12"/>
              <w:rPr>
                <w:rStyle w:val="A4"/>
                <w:b/>
                <w:bCs/>
              </w:rPr>
            </w:pPr>
            <w:r w:rsidRPr="00A70058">
              <w:rPr>
                <w:rStyle w:val="A4"/>
                <w:b/>
                <w:bCs/>
              </w:rPr>
              <w:t xml:space="preserve">Conclusion: </w:t>
            </w:r>
          </w:p>
          <w:p w14:paraId="78394476" w14:textId="4F0DFC67" w:rsidR="00AD5E0F" w:rsidRPr="00A70058" w:rsidRDefault="00EF21B0">
            <w:pPr>
              <w:pStyle w:val="Pa12"/>
              <w:rPr>
                <w:rStyle w:val="A4"/>
                <w:b/>
                <w:bCs/>
              </w:rPr>
            </w:pPr>
            <w:r w:rsidRPr="00A70058">
              <w:rPr>
                <w:sz w:val="22"/>
                <w:szCs w:val="22"/>
              </w:rPr>
              <w:t>The donation of routine</w:t>
            </w:r>
            <w:r w:rsidR="00240B96" w:rsidRPr="00A70058">
              <w:rPr>
                <w:sz w:val="22"/>
                <w:szCs w:val="22"/>
              </w:rPr>
              <w:t>ly</w:t>
            </w:r>
            <w:r w:rsidRPr="00A70058">
              <w:rPr>
                <w:sz w:val="22"/>
                <w:szCs w:val="22"/>
              </w:rPr>
              <w:t xml:space="preserve"> resected lung tissue </w:t>
            </w:r>
            <w:r w:rsidR="0012549A" w:rsidRPr="00A70058">
              <w:rPr>
                <w:sz w:val="22"/>
                <w:szCs w:val="22"/>
              </w:rPr>
              <w:t>from Participants in the UQTRC/</w:t>
            </w:r>
            <w:r w:rsidR="00AD5E0F" w:rsidRPr="00A70058">
              <w:rPr>
                <w:sz w:val="22"/>
                <w:szCs w:val="22"/>
              </w:rPr>
              <w:t xml:space="preserve">TPCH Lung Bank </w:t>
            </w:r>
            <w:r w:rsidR="0012549A" w:rsidRPr="00A70058">
              <w:rPr>
                <w:sz w:val="22"/>
                <w:szCs w:val="22"/>
              </w:rPr>
              <w:t>enable</w:t>
            </w:r>
            <w:r w:rsidR="293D7D31" w:rsidRPr="00A70058">
              <w:rPr>
                <w:sz w:val="22"/>
                <w:szCs w:val="22"/>
              </w:rPr>
              <w:t>s</w:t>
            </w:r>
            <w:r w:rsidR="0012549A" w:rsidRPr="00A70058">
              <w:rPr>
                <w:sz w:val="22"/>
                <w:szCs w:val="22"/>
              </w:rPr>
              <w:t xml:space="preserve"> </w:t>
            </w:r>
            <w:r w:rsidR="00F53F73" w:rsidRPr="00A70058">
              <w:rPr>
                <w:sz w:val="22"/>
                <w:szCs w:val="22"/>
              </w:rPr>
              <w:t xml:space="preserve">collaboration and contribution to international high </w:t>
            </w:r>
            <w:r w:rsidR="006D44E1" w:rsidRPr="00A70058">
              <w:rPr>
                <w:sz w:val="22"/>
                <w:szCs w:val="22"/>
              </w:rPr>
              <w:t>impact genomic</w:t>
            </w:r>
            <w:r w:rsidR="00F53F73" w:rsidRPr="00A70058">
              <w:rPr>
                <w:sz w:val="22"/>
                <w:szCs w:val="22"/>
              </w:rPr>
              <w:t xml:space="preserve"> studies</w:t>
            </w:r>
            <w:r w:rsidR="00B56515" w:rsidRPr="00A70058">
              <w:rPr>
                <w:sz w:val="22"/>
                <w:szCs w:val="22"/>
              </w:rPr>
              <w:t xml:space="preserve"> in a </w:t>
            </w:r>
            <w:r w:rsidR="00C47D70" w:rsidRPr="00A70058">
              <w:rPr>
                <w:sz w:val="22"/>
                <w:szCs w:val="22"/>
              </w:rPr>
              <w:t xml:space="preserve">unique </w:t>
            </w:r>
            <w:r w:rsidR="00660ABD" w:rsidRPr="00A70058">
              <w:rPr>
                <w:sz w:val="22"/>
                <w:szCs w:val="22"/>
              </w:rPr>
              <w:t>subset of lung cancers not due to tobacco smoke,</w:t>
            </w:r>
            <w:r w:rsidR="00B56515" w:rsidRPr="00A70058">
              <w:rPr>
                <w:sz w:val="22"/>
                <w:szCs w:val="22"/>
              </w:rPr>
              <w:t xml:space="preserve"> where there is a </w:t>
            </w:r>
            <w:r w:rsidR="00085F77" w:rsidRPr="00A70058">
              <w:rPr>
                <w:sz w:val="22"/>
                <w:szCs w:val="22"/>
              </w:rPr>
              <w:t xml:space="preserve">striking paucity of </w:t>
            </w:r>
            <w:r w:rsidR="00EC4959" w:rsidRPr="00A70058">
              <w:rPr>
                <w:sz w:val="22"/>
                <w:szCs w:val="22"/>
              </w:rPr>
              <w:t>aetiological</w:t>
            </w:r>
            <w:r w:rsidR="00085F77" w:rsidRPr="00A70058">
              <w:rPr>
                <w:sz w:val="22"/>
                <w:szCs w:val="22"/>
              </w:rPr>
              <w:t xml:space="preserve"> causes, </w:t>
            </w:r>
            <w:r w:rsidR="00EC4959" w:rsidRPr="00A70058">
              <w:rPr>
                <w:sz w:val="22"/>
                <w:szCs w:val="22"/>
              </w:rPr>
              <w:t>without</w:t>
            </w:r>
            <w:r w:rsidR="00085F77" w:rsidRPr="00A70058">
              <w:rPr>
                <w:sz w:val="22"/>
                <w:szCs w:val="22"/>
              </w:rPr>
              <w:t xml:space="preserve"> which </w:t>
            </w:r>
            <w:r w:rsidR="00AF18B2" w:rsidRPr="00A70058">
              <w:rPr>
                <w:sz w:val="22"/>
                <w:szCs w:val="22"/>
              </w:rPr>
              <w:t xml:space="preserve">effective prevention and early detection </w:t>
            </w:r>
            <w:r w:rsidR="00EC4959" w:rsidRPr="00A70058">
              <w:rPr>
                <w:sz w:val="22"/>
                <w:szCs w:val="22"/>
              </w:rPr>
              <w:t>strategies</w:t>
            </w:r>
            <w:r w:rsidR="00AF18B2" w:rsidRPr="00A70058">
              <w:rPr>
                <w:sz w:val="22"/>
                <w:szCs w:val="22"/>
              </w:rPr>
              <w:t xml:space="preserve"> are not possible. </w:t>
            </w:r>
            <w:r w:rsidR="006D44E1" w:rsidRPr="00A70058">
              <w:rPr>
                <w:sz w:val="22"/>
                <w:szCs w:val="22"/>
              </w:rPr>
              <w:t>Cancer t</w:t>
            </w:r>
            <w:r w:rsidR="00AF18B2" w:rsidRPr="00A70058">
              <w:rPr>
                <w:sz w:val="22"/>
                <w:szCs w:val="22"/>
              </w:rPr>
              <w:t xml:space="preserve">issue </w:t>
            </w:r>
            <w:r w:rsidR="006D44E1" w:rsidRPr="00A70058">
              <w:rPr>
                <w:sz w:val="22"/>
                <w:szCs w:val="22"/>
              </w:rPr>
              <w:t>banking</w:t>
            </w:r>
            <w:r w:rsidR="00F53F73" w:rsidRPr="00A70058">
              <w:rPr>
                <w:sz w:val="22"/>
                <w:szCs w:val="22"/>
              </w:rPr>
              <w:t xml:space="preserve"> </w:t>
            </w:r>
            <w:r w:rsidR="00AD5E0F" w:rsidRPr="00A70058">
              <w:rPr>
                <w:sz w:val="22"/>
                <w:szCs w:val="22"/>
              </w:rPr>
              <w:t xml:space="preserve">is a valuable research </w:t>
            </w:r>
            <w:r w:rsidR="00AF18B2" w:rsidRPr="00A70058">
              <w:rPr>
                <w:sz w:val="22"/>
                <w:szCs w:val="22"/>
              </w:rPr>
              <w:t xml:space="preserve">resource and is only </w:t>
            </w:r>
            <w:r w:rsidR="00EC4959" w:rsidRPr="00A70058">
              <w:rPr>
                <w:sz w:val="22"/>
                <w:szCs w:val="22"/>
              </w:rPr>
              <w:t>feasible</w:t>
            </w:r>
            <w:r w:rsidR="00AF18B2" w:rsidRPr="00A70058">
              <w:rPr>
                <w:sz w:val="22"/>
                <w:szCs w:val="22"/>
              </w:rPr>
              <w:t xml:space="preserve"> with </w:t>
            </w:r>
            <w:r w:rsidR="00DD1C3A" w:rsidRPr="00A70058">
              <w:rPr>
                <w:sz w:val="22"/>
                <w:szCs w:val="22"/>
              </w:rPr>
              <w:t xml:space="preserve">multidisciplinary </w:t>
            </w:r>
            <w:r w:rsidR="00EC4959" w:rsidRPr="00A70058">
              <w:rPr>
                <w:sz w:val="22"/>
                <w:szCs w:val="22"/>
              </w:rPr>
              <w:t>contributions</w:t>
            </w:r>
            <w:r w:rsidR="00DD1C3A" w:rsidRPr="00A70058">
              <w:rPr>
                <w:sz w:val="22"/>
                <w:szCs w:val="22"/>
              </w:rPr>
              <w:t xml:space="preserve"> from expert clinicians, </w:t>
            </w:r>
            <w:r w:rsidR="00EC4959" w:rsidRPr="00A70058">
              <w:rPr>
                <w:sz w:val="22"/>
                <w:szCs w:val="22"/>
              </w:rPr>
              <w:t>pathologists</w:t>
            </w:r>
            <w:r w:rsidR="00DD1C3A" w:rsidRPr="00A70058">
              <w:rPr>
                <w:sz w:val="22"/>
                <w:szCs w:val="22"/>
              </w:rPr>
              <w:t xml:space="preserve"> and research st</w:t>
            </w:r>
            <w:r w:rsidR="00517B1D" w:rsidRPr="00A70058">
              <w:rPr>
                <w:sz w:val="22"/>
                <w:szCs w:val="22"/>
              </w:rPr>
              <w:t>aff</w:t>
            </w:r>
            <w:r w:rsidR="006D44E1" w:rsidRPr="00A70058">
              <w:rPr>
                <w:sz w:val="22"/>
                <w:szCs w:val="22"/>
              </w:rPr>
              <w:t xml:space="preserve"> that is sustainable and scalable.</w:t>
            </w:r>
            <w:r w:rsidRPr="00A70058">
              <w:rPr>
                <w:sz w:val="22"/>
                <w:szCs w:val="22"/>
              </w:rPr>
              <w:br/>
            </w:r>
          </w:p>
          <w:p w14:paraId="5F58D34F" w14:textId="4C92073E" w:rsidR="001564A4" w:rsidRPr="0050053A" w:rsidRDefault="001564A4" w:rsidP="00A70058">
            <w:pPr>
              <w:pStyle w:val="Pa12"/>
              <w:spacing w:before="0" w:after="0" w:line="240" w:lineRule="auto"/>
              <w:rPr>
                <w:rStyle w:val="A4"/>
                <w:lang w:val="en-US" w:eastAsia="en-GB"/>
              </w:rPr>
            </w:pPr>
            <w:r w:rsidRPr="00A70058">
              <w:rPr>
                <w:rStyle w:val="A4"/>
                <w:b/>
                <w:bCs/>
              </w:rPr>
              <w:t xml:space="preserve">Grant Support: </w:t>
            </w:r>
            <w:r w:rsidR="00660ABD" w:rsidRPr="00A70058">
              <w:rPr>
                <w:rStyle w:val="A4"/>
                <w:b/>
                <w:bCs/>
              </w:rPr>
              <w:t xml:space="preserve"> </w:t>
            </w:r>
            <w:r w:rsidR="00660ABD" w:rsidRPr="00A70058">
              <w:rPr>
                <w:rStyle w:val="A4"/>
              </w:rPr>
              <w:t xml:space="preserve">TPCH Foundation, multiple </w:t>
            </w:r>
            <w:r w:rsidR="00240B96" w:rsidRPr="00A70058">
              <w:rPr>
                <w:rStyle w:val="A4"/>
              </w:rPr>
              <w:t>funding bodies over years</w:t>
            </w:r>
          </w:p>
        </w:tc>
      </w:tr>
    </w:tbl>
    <w:p w14:paraId="7C36A9DC" w14:textId="32A70617" w:rsidR="00E0700F" w:rsidRDefault="00E0700F" w:rsidP="00A70058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F19A" w14:textId="77777777" w:rsidR="00A70058" w:rsidRDefault="00A70058" w:rsidP="00A70058">
      <w:pPr>
        <w:spacing w:before="0" w:after="0"/>
      </w:pPr>
      <w:r>
        <w:separator/>
      </w:r>
    </w:p>
  </w:endnote>
  <w:endnote w:type="continuationSeparator" w:id="0">
    <w:p w14:paraId="589AE9AC" w14:textId="77777777" w:rsidR="00A70058" w:rsidRDefault="00A70058" w:rsidP="00A700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5A65" w14:textId="77777777" w:rsidR="00A70058" w:rsidRDefault="00A70058" w:rsidP="00A70058">
      <w:pPr>
        <w:spacing w:before="0" w:after="0"/>
      </w:pPr>
      <w:r>
        <w:separator/>
      </w:r>
    </w:p>
  </w:footnote>
  <w:footnote w:type="continuationSeparator" w:id="0">
    <w:p w14:paraId="67DDE62C" w14:textId="77777777" w:rsidR="00A70058" w:rsidRDefault="00A70058" w:rsidP="00A70058">
      <w:pPr>
        <w:spacing w:before="0"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w7BRyV+5ObvAY" int2:id="1kbHUDi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2AF8"/>
    <w:multiLevelType w:val="hybridMultilevel"/>
    <w:tmpl w:val="93827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MzC2NDAwMbA0NDNT0lEKTi0uzszPAykwqgUAScYxlSwAAAA="/>
  </w:docVars>
  <w:rsids>
    <w:rsidRoot w:val="001564A4"/>
    <w:rsid w:val="000132BD"/>
    <w:rsid w:val="00085F77"/>
    <w:rsid w:val="000904F7"/>
    <w:rsid w:val="000B6B74"/>
    <w:rsid w:val="0012549A"/>
    <w:rsid w:val="001474D6"/>
    <w:rsid w:val="00152F02"/>
    <w:rsid w:val="001564A4"/>
    <w:rsid w:val="001A5A2F"/>
    <w:rsid w:val="002210FB"/>
    <w:rsid w:val="00232285"/>
    <w:rsid w:val="00240B96"/>
    <w:rsid w:val="002677DC"/>
    <w:rsid w:val="00277BF5"/>
    <w:rsid w:val="002D0B4F"/>
    <w:rsid w:val="002F28A7"/>
    <w:rsid w:val="002F520C"/>
    <w:rsid w:val="00314220"/>
    <w:rsid w:val="00325CA9"/>
    <w:rsid w:val="00333CCA"/>
    <w:rsid w:val="00383A55"/>
    <w:rsid w:val="003F5730"/>
    <w:rsid w:val="004437A2"/>
    <w:rsid w:val="00465327"/>
    <w:rsid w:val="005147C6"/>
    <w:rsid w:val="0051574E"/>
    <w:rsid w:val="00517B1D"/>
    <w:rsid w:val="005362F2"/>
    <w:rsid w:val="00606B98"/>
    <w:rsid w:val="0061318B"/>
    <w:rsid w:val="00660ABD"/>
    <w:rsid w:val="00682E05"/>
    <w:rsid w:val="006D44E1"/>
    <w:rsid w:val="006E52C3"/>
    <w:rsid w:val="00737BFC"/>
    <w:rsid w:val="00741E44"/>
    <w:rsid w:val="00806DBE"/>
    <w:rsid w:val="00814FAE"/>
    <w:rsid w:val="008803FA"/>
    <w:rsid w:val="00960DBB"/>
    <w:rsid w:val="009C244D"/>
    <w:rsid w:val="009C6AB4"/>
    <w:rsid w:val="00A110D5"/>
    <w:rsid w:val="00A1468A"/>
    <w:rsid w:val="00A36AE2"/>
    <w:rsid w:val="00A545A6"/>
    <w:rsid w:val="00A70058"/>
    <w:rsid w:val="00A71908"/>
    <w:rsid w:val="00A9649F"/>
    <w:rsid w:val="00A97884"/>
    <w:rsid w:val="00AB668B"/>
    <w:rsid w:val="00AD5E0F"/>
    <w:rsid w:val="00AF046C"/>
    <w:rsid w:val="00AF18B2"/>
    <w:rsid w:val="00B12E32"/>
    <w:rsid w:val="00B56515"/>
    <w:rsid w:val="00B672B7"/>
    <w:rsid w:val="00BA79E8"/>
    <w:rsid w:val="00BAF48D"/>
    <w:rsid w:val="00BD4115"/>
    <w:rsid w:val="00C02612"/>
    <w:rsid w:val="00C33B3C"/>
    <w:rsid w:val="00C47D70"/>
    <w:rsid w:val="00C6612B"/>
    <w:rsid w:val="00C82DBC"/>
    <w:rsid w:val="00D515C7"/>
    <w:rsid w:val="00D815FD"/>
    <w:rsid w:val="00DB0E73"/>
    <w:rsid w:val="00DD1C3A"/>
    <w:rsid w:val="00E0700F"/>
    <w:rsid w:val="00E10EE9"/>
    <w:rsid w:val="00E614F8"/>
    <w:rsid w:val="00EC2510"/>
    <w:rsid w:val="00EC2FA4"/>
    <w:rsid w:val="00EC4959"/>
    <w:rsid w:val="00EC535A"/>
    <w:rsid w:val="00EF21B0"/>
    <w:rsid w:val="00F10087"/>
    <w:rsid w:val="00F44A4F"/>
    <w:rsid w:val="00F53F73"/>
    <w:rsid w:val="00F70A31"/>
    <w:rsid w:val="00FE249E"/>
    <w:rsid w:val="014F8851"/>
    <w:rsid w:val="016AFA19"/>
    <w:rsid w:val="0236EDA3"/>
    <w:rsid w:val="029765BF"/>
    <w:rsid w:val="039BC941"/>
    <w:rsid w:val="03C4F958"/>
    <w:rsid w:val="04333620"/>
    <w:rsid w:val="055295CF"/>
    <w:rsid w:val="05CF0681"/>
    <w:rsid w:val="06219359"/>
    <w:rsid w:val="06EBF225"/>
    <w:rsid w:val="07696A89"/>
    <w:rsid w:val="07BBC524"/>
    <w:rsid w:val="087EF27B"/>
    <w:rsid w:val="08BC4550"/>
    <w:rsid w:val="08D3B9B7"/>
    <w:rsid w:val="08F7220D"/>
    <w:rsid w:val="09053AEA"/>
    <w:rsid w:val="0C210E69"/>
    <w:rsid w:val="0C301260"/>
    <w:rsid w:val="0D5E38C7"/>
    <w:rsid w:val="0D6E998F"/>
    <w:rsid w:val="101FD873"/>
    <w:rsid w:val="11CB95C8"/>
    <w:rsid w:val="11ECEB89"/>
    <w:rsid w:val="11FBF641"/>
    <w:rsid w:val="12E716B3"/>
    <w:rsid w:val="13206F81"/>
    <w:rsid w:val="1354C6F8"/>
    <w:rsid w:val="1381E307"/>
    <w:rsid w:val="13C4CF2B"/>
    <w:rsid w:val="16C63135"/>
    <w:rsid w:val="18322C2C"/>
    <w:rsid w:val="18D4F311"/>
    <w:rsid w:val="1ABF1C9B"/>
    <w:rsid w:val="1ACE7BE3"/>
    <w:rsid w:val="1AE630A7"/>
    <w:rsid w:val="1B77A55A"/>
    <w:rsid w:val="1C03E2B4"/>
    <w:rsid w:val="1C218498"/>
    <w:rsid w:val="1F4F34FE"/>
    <w:rsid w:val="1F928DBE"/>
    <w:rsid w:val="1FE579B3"/>
    <w:rsid w:val="1FEA3675"/>
    <w:rsid w:val="20542830"/>
    <w:rsid w:val="2083F2D1"/>
    <w:rsid w:val="208CFD1D"/>
    <w:rsid w:val="21D6D034"/>
    <w:rsid w:val="220E5BB2"/>
    <w:rsid w:val="221FC332"/>
    <w:rsid w:val="22EFEC1F"/>
    <w:rsid w:val="233A83D5"/>
    <w:rsid w:val="244B8056"/>
    <w:rsid w:val="24A360E4"/>
    <w:rsid w:val="24EEFA2D"/>
    <w:rsid w:val="25522F26"/>
    <w:rsid w:val="263BBE3D"/>
    <w:rsid w:val="26A55211"/>
    <w:rsid w:val="26AA4157"/>
    <w:rsid w:val="2722A677"/>
    <w:rsid w:val="27315C6F"/>
    <w:rsid w:val="274BA974"/>
    <w:rsid w:val="274D3AEC"/>
    <w:rsid w:val="27832118"/>
    <w:rsid w:val="28B602CC"/>
    <w:rsid w:val="28D6D2DA"/>
    <w:rsid w:val="2925353D"/>
    <w:rsid w:val="293D7D31"/>
    <w:rsid w:val="294DAACB"/>
    <w:rsid w:val="29E1E219"/>
    <w:rsid w:val="2ABAC1DA"/>
    <w:rsid w:val="2B241777"/>
    <w:rsid w:val="2B559091"/>
    <w:rsid w:val="2C6403D4"/>
    <w:rsid w:val="2CC26A79"/>
    <w:rsid w:val="2CC83EAB"/>
    <w:rsid w:val="2F53E088"/>
    <w:rsid w:val="2F7736AA"/>
    <w:rsid w:val="2F89C70E"/>
    <w:rsid w:val="304D023E"/>
    <w:rsid w:val="30A6BCD8"/>
    <w:rsid w:val="310AC6EC"/>
    <w:rsid w:val="313774F7"/>
    <w:rsid w:val="3279232F"/>
    <w:rsid w:val="32AED76C"/>
    <w:rsid w:val="3482F470"/>
    <w:rsid w:val="35832F94"/>
    <w:rsid w:val="358428BE"/>
    <w:rsid w:val="36F4B94A"/>
    <w:rsid w:val="374E1C3D"/>
    <w:rsid w:val="3864E5DF"/>
    <w:rsid w:val="3A954ABB"/>
    <w:rsid w:val="3B60FAA0"/>
    <w:rsid w:val="3CD71D8C"/>
    <w:rsid w:val="3DA1B9DB"/>
    <w:rsid w:val="3E1073EC"/>
    <w:rsid w:val="3E50B1C5"/>
    <w:rsid w:val="3F5D35C4"/>
    <w:rsid w:val="3FD46DFD"/>
    <w:rsid w:val="40A231CE"/>
    <w:rsid w:val="40CDE880"/>
    <w:rsid w:val="40F09DCD"/>
    <w:rsid w:val="410D59E7"/>
    <w:rsid w:val="41E690BD"/>
    <w:rsid w:val="4294D686"/>
    <w:rsid w:val="4380ABF3"/>
    <w:rsid w:val="43C403B8"/>
    <w:rsid w:val="45517FEE"/>
    <w:rsid w:val="45E1335C"/>
    <w:rsid w:val="46B3E06C"/>
    <w:rsid w:val="477D03BD"/>
    <w:rsid w:val="4876389F"/>
    <w:rsid w:val="48E9809B"/>
    <w:rsid w:val="497F1C63"/>
    <w:rsid w:val="49D6C51A"/>
    <w:rsid w:val="4B2C6E3C"/>
    <w:rsid w:val="4C4EAE22"/>
    <w:rsid w:val="4D61D616"/>
    <w:rsid w:val="4D811ED8"/>
    <w:rsid w:val="4E28528B"/>
    <w:rsid w:val="4EDCCF03"/>
    <w:rsid w:val="4F70E583"/>
    <w:rsid w:val="50866489"/>
    <w:rsid w:val="5197352C"/>
    <w:rsid w:val="521E8373"/>
    <w:rsid w:val="5286C518"/>
    <w:rsid w:val="52D599F2"/>
    <w:rsid w:val="52FBC3AE"/>
    <w:rsid w:val="5363831A"/>
    <w:rsid w:val="5403995B"/>
    <w:rsid w:val="5487AD6B"/>
    <w:rsid w:val="55CB2F10"/>
    <w:rsid w:val="561ACEF7"/>
    <w:rsid w:val="56336470"/>
    <w:rsid w:val="584D3BFA"/>
    <w:rsid w:val="5949012A"/>
    <w:rsid w:val="5964AE3A"/>
    <w:rsid w:val="59F57582"/>
    <w:rsid w:val="5BED26ED"/>
    <w:rsid w:val="5C8CA8AD"/>
    <w:rsid w:val="5CFC42A1"/>
    <w:rsid w:val="5D88F74E"/>
    <w:rsid w:val="5DFA8651"/>
    <w:rsid w:val="5EFE3F2C"/>
    <w:rsid w:val="5F2CE70B"/>
    <w:rsid w:val="6006FA05"/>
    <w:rsid w:val="60B340E3"/>
    <w:rsid w:val="610F123C"/>
    <w:rsid w:val="617883BB"/>
    <w:rsid w:val="626ED393"/>
    <w:rsid w:val="6280E606"/>
    <w:rsid w:val="63046B47"/>
    <w:rsid w:val="63C5D2E8"/>
    <w:rsid w:val="6400582E"/>
    <w:rsid w:val="64C1D5FA"/>
    <w:rsid w:val="6652833B"/>
    <w:rsid w:val="6679D24B"/>
    <w:rsid w:val="66D73F56"/>
    <w:rsid w:val="695AF4A8"/>
    <w:rsid w:val="697634F5"/>
    <w:rsid w:val="69970E02"/>
    <w:rsid w:val="69FA75C2"/>
    <w:rsid w:val="6A4605EC"/>
    <w:rsid w:val="6A547917"/>
    <w:rsid w:val="6A9841E8"/>
    <w:rsid w:val="6AF6C509"/>
    <w:rsid w:val="6BF241B6"/>
    <w:rsid w:val="6C648FAF"/>
    <w:rsid w:val="6C67FD75"/>
    <w:rsid w:val="6CCF0E35"/>
    <w:rsid w:val="6CD073B4"/>
    <w:rsid w:val="6D297299"/>
    <w:rsid w:val="6D576BCB"/>
    <w:rsid w:val="6DF688C4"/>
    <w:rsid w:val="6EC0EC72"/>
    <w:rsid w:val="6FB905ED"/>
    <w:rsid w:val="70610C26"/>
    <w:rsid w:val="7079C0E6"/>
    <w:rsid w:val="717D7B51"/>
    <w:rsid w:val="72159147"/>
    <w:rsid w:val="723FD02C"/>
    <w:rsid w:val="72B3DA03"/>
    <w:rsid w:val="738C60A6"/>
    <w:rsid w:val="74C48946"/>
    <w:rsid w:val="750417CD"/>
    <w:rsid w:val="755DE56E"/>
    <w:rsid w:val="76284771"/>
    <w:rsid w:val="76E99D28"/>
    <w:rsid w:val="77747424"/>
    <w:rsid w:val="77D43A73"/>
    <w:rsid w:val="7905E7E7"/>
    <w:rsid w:val="7A24DF8A"/>
    <w:rsid w:val="7AB00241"/>
    <w:rsid w:val="7B1074A8"/>
    <w:rsid w:val="7C02CB82"/>
    <w:rsid w:val="7CAB7028"/>
    <w:rsid w:val="7CEFDB32"/>
    <w:rsid w:val="7E755BE8"/>
    <w:rsid w:val="7E8DBD39"/>
    <w:rsid w:val="7EE6BC00"/>
    <w:rsid w:val="7F4D4605"/>
    <w:rsid w:val="7F7FB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D562AD90-2C85-4D06-AB01-49A1E82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741E44"/>
    <w:pPr>
      <w:spacing w:before="100" w:beforeAutospacing="1" w:after="100" w:afterAutospacing="1"/>
    </w:pPr>
    <w:rPr>
      <w:lang w:val="en-AU" w:eastAsia="en-AU"/>
    </w:rPr>
  </w:style>
  <w:style w:type="paragraph" w:styleId="NoSpacing">
    <w:name w:val="No Spacing"/>
    <w:uiPriority w:val="1"/>
    <w:qFormat/>
    <w:rsid w:val="00741E44"/>
    <w:rPr>
      <w:rFonts w:asciiTheme="minorHAnsi" w:eastAsiaTheme="minorEastAsia" w:hAnsiTheme="minorHAnsi"/>
      <w:sz w:val="22"/>
      <w:szCs w:val="22"/>
      <w:lang w:val="en-AU" w:eastAsia="zh-TW"/>
    </w:rPr>
  </w:style>
  <w:style w:type="table" w:styleId="TableGrid">
    <w:name w:val="Table Grid"/>
    <w:basedOn w:val="TableNormal"/>
    <w:uiPriority w:val="39"/>
    <w:rsid w:val="00AD5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0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5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6dc29e-d341-4336-8955-7e9df39889cc">
      <UserInfo>
        <DisplayName>Barbara Page</DisplayName>
        <AccountId>6</AccountId>
        <AccountType/>
      </UserInfo>
      <UserInfo>
        <DisplayName>Kwun Fong</DisplayName>
        <AccountId>8</AccountId>
        <AccountType/>
      </UserInfo>
      <UserInfo>
        <DisplayName>Anita Goldsworthy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1508FBE1FF64A829446976955CF92" ma:contentTypeVersion="5" ma:contentTypeDescription="Create a new document." ma:contentTypeScope="" ma:versionID="4d86768b5889f28f06d669ffb2c2319b">
  <xsd:schema xmlns:xsd="http://www.w3.org/2001/XMLSchema" xmlns:xs="http://www.w3.org/2001/XMLSchema" xmlns:p="http://schemas.microsoft.com/office/2006/metadata/properties" xmlns:ns2="17fd08d8-5725-498d-b55d-c213060b47da" xmlns:ns3="576dc29e-d341-4336-8955-7e9df39889cc" targetNamespace="http://schemas.microsoft.com/office/2006/metadata/properties" ma:root="true" ma:fieldsID="13a94662c8e93f4bee06c69527991ffc" ns2:_="" ns3:_="">
    <xsd:import namespace="17fd08d8-5725-498d-b55d-c213060b47da"/>
    <xsd:import namespace="576dc29e-d341-4336-8955-7e9df398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d08d8-5725-498d-b55d-c213060b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c29e-d341-4336-8955-7e9df398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576dc29e-d341-4336-8955-7e9df39889cc"/>
  </ds:schemaRefs>
</ds:datastoreItem>
</file>

<file path=customXml/itemProps3.xml><?xml version="1.0" encoding="utf-8"?>
<ds:datastoreItem xmlns:ds="http://schemas.openxmlformats.org/officeDocument/2006/customXml" ds:itemID="{E6F7F677-D15A-4863-8E0D-0591B56F0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d08d8-5725-498d-b55d-c213060b47da"/>
    <ds:schemaRef ds:uri="576dc29e-d341-4336-8955-7e9df398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Anita Goldsworthy</cp:lastModifiedBy>
  <cp:revision>86</cp:revision>
  <cp:lastPrinted>2023-10-20T08:48:00Z</cp:lastPrinted>
  <dcterms:created xsi:type="dcterms:W3CDTF">2023-10-20T12:32:00Z</dcterms:created>
  <dcterms:modified xsi:type="dcterms:W3CDTF">2023-10-19T06:16:00Z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0x0101002641508FBE1FF64A829446976955CF92</vt:lpwstr>
  </property>
  <property fmtid="{D5CDD505-2E9C-101B-9397-08002B2CF9AE}" pid="3" name="MediaServiceImageTags">
    <vt:lpwstr/>
  </property>
</Properties>
</file>