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974F" w14:textId="77777777" w:rsidR="004902AC" w:rsidRDefault="004902AC">
      <w:pPr>
        <w:rPr>
          <w:b/>
          <w:bCs/>
        </w:rPr>
      </w:pPr>
    </w:p>
    <w:tbl>
      <w:tblPr>
        <w:tblStyle w:val="TableGrid"/>
        <w:tblW w:w="8640" w:type="dxa"/>
        <w:tblInd w:w="108" w:type="dxa"/>
        <w:tblLayout w:type="fixed"/>
        <w:tblLook w:val="04A0" w:firstRow="1" w:lastRow="0" w:firstColumn="1" w:lastColumn="0" w:noHBand="0" w:noVBand="1"/>
      </w:tblPr>
      <w:tblGrid>
        <w:gridCol w:w="8640"/>
      </w:tblGrid>
      <w:tr w:rsidR="004902AC" w14:paraId="27001401" w14:textId="77777777">
        <w:tc>
          <w:tcPr>
            <w:tcW w:w="8640" w:type="dxa"/>
            <w:shd w:val="clear" w:color="auto" w:fill="F2F2F2" w:themeFill="background1" w:themeFillShade="F2"/>
          </w:tcPr>
          <w:p w14:paraId="08945194" w14:textId="77777777" w:rsidR="0037518F" w:rsidRPr="0037518F" w:rsidRDefault="0037518F" w:rsidP="0037518F">
            <w:pPr>
              <w:spacing w:after="0" w:line="240" w:lineRule="auto"/>
              <w:jc w:val="both"/>
              <w:rPr>
                <w:rFonts w:ascii="Arial" w:hAnsi="Arial" w:cs="Arial"/>
                <w:bCs/>
                <w:i/>
                <w:iCs/>
                <w:sz w:val="22"/>
                <w:szCs w:val="22"/>
                <w:lang w:val="en-NZ" w:eastAsia="en-NZ"/>
              </w:rPr>
            </w:pPr>
            <w:r w:rsidRPr="0037518F">
              <w:rPr>
                <w:rFonts w:ascii="Arial" w:hAnsi="Arial" w:cs="Arial"/>
                <w:bCs/>
                <w:i/>
                <w:iCs/>
                <w:sz w:val="22"/>
                <w:szCs w:val="22"/>
                <w:lang w:val="en-NZ" w:eastAsia="en-NZ"/>
              </w:rPr>
              <w:t>Paper</w:t>
            </w:r>
          </w:p>
          <w:p w14:paraId="22C5F130" w14:textId="1667D7C3" w:rsidR="004902AC" w:rsidRPr="0037518F" w:rsidRDefault="00F81BBF" w:rsidP="0037518F">
            <w:pPr>
              <w:spacing w:after="0" w:line="240" w:lineRule="auto"/>
              <w:jc w:val="both"/>
              <w:rPr>
                <w:rFonts w:ascii="Arial" w:hAnsi="Arial" w:cs="Arial"/>
                <w:b/>
                <w:bCs/>
                <w:sz w:val="22"/>
                <w:szCs w:val="22"/>
                <w:lang w:val="en-NZ" w:eastAsia="en-NZ"/>
              </w:rPr>
            </w:pPr>
            <w:r w:rsidRPr="0037518F">
              <w:rPr>
                <w:rFonts w:ascii="Arial" w:hAnsi="Arial" w:cs="Arial" w:hint="eastAsia"/>
                <w:b/>
                <w:bCs/>
                <w:sz w:val="22"/>
                <w:szCs w:val="22"/>
                <w:lang w:val="en-NZ" w:eastAsia="en-NZ"/>
              </w:rPr>
              <w:t xml:space="preserve">Overview of China's </w:t>
            </w:r>
            <w:r w:rsidRPr="0037518F">
              <w:rPr>
                <w:rFonts w:ascii="Arial" w:hAnsi="Arial" w:cs="Arial"/>
                <w:b/>
                <w:bCs/>
                <w:sz w:val="22"/>
                <w:szCs w:val="22"/>
                <w:lang w:val="en-NZ" w:eastAsia="en-NZ"/>
              </w:rPr>
              <w:t>r</w:t>
            </w:r>
            <w:r w:rsidRPr="0037518F">
              <w:rPr>
                <w:rFonts w:ascii="Arial" w:hAnsi="Arial" w:cs="Arial" w:hint="eastAsia"/>
                <w:b/>
                <w:bCs/>
                <w:sz w:val="22"/>
                <w:szCs w:val="22"/>
                <w:lang w:val="en-NZ" w:eastAsia="en-NZ"/>
              </w:rPr>
              <w:t xml:space="preserve">ecycling of </w:t>
            </w:r>
            <w:r w:rsidRPr="0037518F">
              <w:rPr>
                <w:rFonts w:ascii="Arial" w:hAnsi="Arial" w:cs="Arial"/>
                <w:b/>
                <w:bCs/>
                <w:sz w:val="22"/>
                <w:szCs w:val="22"/>
                <w:lang w:val="en-NZ" w:eastAsia="en-NZ"/>
              </w:rPr>
              <w:t>r</w:t>
            </w:r>
            <w:r w:rsidRPr="0037518F">
              <w:rPr>
                <w:rFonts w:ascii="Arial" w:hAnsi="Arial" w:cs="Arial" w:hint="eastAsia"/>
                <w:b/>
                <w:bCs/>
                <w:sz w:val="22"/>
                <w:szCs w:val="22"/>
                <w:lang w:val="en-NZ" w:eastAsia="en-NZ"/>
              </w:rPr>
              <w:t xml:space="preserve">etired </w:t>
            </w:r>
            <w:r w:rsidRPr="0037518F">
              <w:rPr>
                <w:rFonts w:ascii="Arial" w:hAnsi="Arial" w:cs="Arial"/>
                <w:b/>
                <w:bCs/>
                <w:sz w:val="22"/>
                <w:szCs w:val="22"/>
                <w:lang w:val="en-NZ" w:eastAsia="en-NZ"/>
              </w:rPr>
              <w:t>p</w:t>
            </w:r>
            <w:r w:rsidRPr="0037518F">
              <w:rPr>
                <w:rFonts w:ascii="Arial" w:hAnsi="Arial" w:cs="Arial" w:hint="eastAsia"/>
                <w:b/>
                <w:bCs/>
                <w:sz w:val="22"/>
                <w:szCs w:val="22"/>
                <w:lang w:val="en-NZ" w:eastAsia="en-NZ"/>
              </w:rPr>
              <w:t xml:space="preserve">hotovoltaic </w:t>
            </w:r>
            <w:r w:rsidRPr="0037518F">
              <w:rPr>
                <w:rFonts w:ascii="Arial" w:hAnsi="Arial" w:cs="Arial"/>
                <w:b/>
                <w:bCs/>
                <w:sz w:val="22"/>
                <w:szCs w:val="22"/>
                <w:lang w:val="en-NZ" w:eastAsia="en-NZ"/>
              </w:rPr>
              <w:t>m</w:t>
            </w:r>
            <w:r w:rsidRPr="0037518F">
              <w:rPr>
                <w:rFonts w:ascii="Arial" w:hAnsi="Arial" w:cs="Arial" w:hint="eastAsia"/>
                <w:b/>
                <w:bCs/>
                <w:sz w:val="22"/>
                <w:szCs w:val="22"/>
                <w:lang w:val="en-NZ" w:eastAsia="en-NZ"/>
              </w:rPr>
              <w:t>odules</w:t>
            </w:r>
          </w:p>
          <w:p w14:paraId="1EC281F3" w14:textId="77777777" w:rsidR="004902AC" w:rsidRDefault="004902AC" w:rsidP="0037518F">
            <w:pPr>
              <w:tabs>
                <w:tab w:val="left" w:pos="3386"/>
              </w:tabs>
              <w:spacing w:after="0" w:line="240" w:lineRule="auto"/>
              <w:jc w:val="both"/>
              <w:rPr>
                <w:rFonts w:ascii="Arial" w:hAnsi="Arial" w:cs="Arial"/>
                <w:b/>
                <w:bCs/>
                <w:sz w:val="22"/>
                <w:szCs w:val="22"/>
                <w:lang w:val="en-NZ" w:eastAsia="en-NZ"/>
              </w:rPr>
            </w:pPr>
          </w:p>
        </w:tc>
      </w:tr>
      <w:tr w:rsidR="004902AC" w14:paraId="6AA0C287" w14:textId="77777777">
        <w:trPr>
          <w:trHeight w:val="3124"/>
        </w:trPr>
        <w:tc>
          <w:tcPr>
            <w:tcW w:w="8640" w:type="dxa"/>
          </w:tcPr>
          <w:p w14:paraId="490C4434" w14:textId="5F44E193" w:rsidR="004902AC" w:rsidRDefault="004902AC">
            <w:pPr>
              <w:jc w:val="both"/>
              <w:rPr>
                <w:rFonts w:ascii="Arial" w:hAnsi="Arial" w:cs="Arial"/>
                <w:bCs/>
                <w:sz w:val="22"/>
                <w:szCs w:val="22"/>
                <w:lang w:val="en-NZ" w:eastAsia="en-NZ"/>
              </w:rPr>
            </w:pPr>
          </w:p>
          <w:p w14:paraId="76A1508F" w14:textId="77777777" w:rsidR="004902AC" w:rsidRDefault="00F81BBF">
            <w:pPr>
              <w:jc w:val="both"/>
              <w:rPr>
                <w:rFonts w:ascii="Arial" w:hAnsi="Arial" w:cs="Arial"/>
                <w:sz w:val="22"/>
                <w:szCs w:val="22"/>
                <w:lang w:val="en-NZ" w:eastAsia="en-NZ"/>
              </w:rPr>
            </w:pPr>
            <w:r>
              <w:rPr>
                <w:rFonts w:ascii="Arial" w:hAnsi="Arial" w:cs="Arial" w:hint="eastAsia"/>
                <w:sz w:val="22"/>
                <w:szCs w:val="22"/>
                <w:lang w:val="en-NZ" w:eastAsia="en-NZ"/>
              </w:rPr>
              <w:t>In 2025, China will begin to produce many retired photovoltaic modules. The amount of photovoltaic module waste will reach around 18GW or 1.4 million tons of waste after 2030. According to calculations, by 2040, the cumulative amount of photovoltaic module waste will reach around 253GW or 20 million tons.</w:t>
            </w:r>
          </w:p>
          <w:p w14:paraId="259C7DB4" w14:textId="77777777" w:rsidR="004902AC" w:rsidRDefault="00F81BBF">
            <w:pPr>
              <w:jc w:val="both"/>
              <w:rPr>
                <w:rFonts w:ascii="Arial" w:hAnsi="Arial" w:cs="Arial"/>
                <w:sz w:val="22"/>
                <w:szCs w:val="22"/>
                <w:lang w:val="en-NZ" w:eastAsia="en-NZ"/>
              </w:rPr>
            </w:pPr>
            <w:r>
              <w:rPr>
                <w:rFonts w:ascii="Arial" w:hAnsi="Arial" w:cs="Arial" w:hint="eastAsia"/>
                <w:sz w:val="22"/>
                <w:szCs w:val="22"/>
                <w:lang w:val="en-NZ" w:eastAsia="en-NZ"/>
              </w:rPr>
              <w:t>Photovoltaic module recycling refers to the disassembly of photovoltaic module components to achieve material recycling and reuse. The separation and recycling of these materials require efficient technical support because the photovoltaic modules have a complex structure and contain a variety of materials. The components of photovoltaic modules mainly include cells, glass, ethylene-vinyl acetate copolymer (EVA), backplane, etc.</w:t>
            </w:r>
          </w:p>
          <w:p w14:paraId="7F8F30B0" w14:textId="77777777" w:rsidR="004902AC" w:rsidRDefault="00F81BBF">
            <w:pPr>
              <w:jc w:val="both"/>
              <w:rPr>
                <w:rFonts w:ascii="Arial" w:hAnsi="Arial" w:cs="Arial"/>
                <w:sz w:val="22"/>
                <w:szCs w:val="22"/>
                <w:lang w:val="en-NZ" w:eastAsia="en-NZ"/>
              </w:rPr>
            </w:pPr>
            <w:r>
              <w:rPr>
                <w:rFonts w:ascii="Arial" w:hAnsi="Arial" w:cs="Arial" w:hint="eastAsia"/>
                <w:sz w:val="22"/>
                <w:szCs w:val="22"/>
                <w:lang w:val="en-NZ" w:eastAsia="en-NZ"/>
              </w:rPr>
              <w:t>In the disassembly of photovoltaic modules, the existing technical methods mainly include the physical method, pyrolysis chemical method, and solvent chemical method. The physical method is relatively simple to operate, but the purity of the separated materials is relatively low. Although the purity of the components obtained by the chemical method is better than that of the physical method, other materials will be consumed during the processing process. To improve recycling efficiency, combining physical and chemical methods in a certain way has become an important direction for the development of the photovoltaic module recycling industry.</w:t>
            </w:r>
          </w:p>
          <w:p w14:paraId="334BC906" w14:textId="77777777" w:rsidR="004902AC" w:rsidRDefault="00F81BBF">
            <w:pPr>
              <w:jc w:val="both"/>
              <w:rPr>
                <w:rFonts w:ascii="Arial" w:hAnsi="Arial" w:cs="Arial"/>
                <w:sz w:val="22"/>
                <w:szCs w:val="22"/>
                <w:lang w:val="en-NZ" w:eastAsia="en-NZ"/>
              </w:rPr>
            </w:pPr>
            <w:r>
              <w:rPr>
                <w:rFonts w:ascii="Arial" w:hAnsi="Arial" w:cs="Arial" w:hint="eastAsia"/>
                <w:sz w:val="22"/>
                <w:szCs w:val="22"/>
                <w:lang w:val="en-NZ" w:eastAsia="en-NZ"/>
              </w:rPr>
              <w:t>As a new type of waste material, the harmless treatment and efficient recycling of retired photovoltaic modules have not only considerable circular economic benefits but also significant environmental benefits. At present, the development of photovoltaic module recycling and processing technology mainly focuses on crystalline silicon photovoltaic modules. The focus of recycling and utilization of waste photovoltaic modules is to recover rare metals and valuable materials and reduce resource waste and environmental pollution at the same time.</w:t>
            </w:r>
          </w:p>
          <w:p w14:paraId="7D6BB308" w14:textId="77777777" w:rsidR="004902AC" w:rsidRDefault="00F81BBF">
            <w:pPr>
              <w:jc w:val="both"/>
              <w:rPr>
                <w:rFonts w:ascii="Arial" w:hAnsi="Arial" w:cs="Arial"/>
                <w:sz w:val="22"/>
                <w:szCs w:val="22"/>
                <w:lang w:val="en-NZ" w:eastAsia="en-NZ"/>
              </w:rPr>
            </w:pPr>
            <w:r>
              <w:rPr>
                <w:rFonts w:ascii="Arial" w:hAnsi="Arial" w:cs="Arial" w:hint="eastAsia"/>
                <w:sz w:val="22"/>
                <w:szCs w:val="22"/>
                <w:lang w:val="en-NZ" w:eastAsia="en-NZ"/>
              </w:rPr>
              <w:t>It is also very important to establish a new type of recycling system, which could support photovoltaic equipment manufacturers to establish photovoltaic module recycling warehouses by region through various modes such as independent recycling, joint recycling, or entrusted recycling. Meanwhile, adopt online monitoring mode by applying Big Data and Cloud Computing Technologies in the recycling system, tracking and counting the number of photovoltaic modules retired by each power generation enterprise in real time each year.</w:t>
            </w:r>
          </w:p>
          <w:p w14:paraId="7CD3F667" w14:textId="34F61C8B" w:rsidR="004902AC" w:rsidRPr="00674B67" w:rsidRDefault="00F81BBF" w:rsidP="00674B67">
            <w:pPr>
              <w:jc w:val="both"/>
              <w:rPr>
                <w:rFonts w:ascii="Arial" w:hAnsi="Arial" w:cs="Arial"/>
                <w:sz w:val="22"/>
                <w:szCs w:val="22"/>
                <w:lang w:val="en-NZ" w:eastAsia="en-NZ"/>
              </w:rPr>
            </w:pPr>
            <w:r>
              <w:rPr>
                <w:rFonts w:ascii="Arial" w:hAnsi="Arial" w:cs="Arial" w:hint="eastAsia"/>
                <w:sz w:val="22"/>
                <w:szCs w:val="22"/>
                <w:lang w:val="en-NZ" w:eastAsia="en-NZ"/>
              </w:rPr>
              <w:t xml:space="preserve">Recently, the Chinese government released a relevant report, which promised to establish a basic responsibility mechanism for the treatment of retired equipment in centralized wind farms and photovoltaic power stations by 2025. Improving the relevant </w:t>
            </w:r>
            <w:r>
              <w:rPr>
                <w:rFonts w:ascii="Arial" w:hAnsi="Arial" w:cs="Arial" w:hint="eastAsia"/>
                <w:sz w:val="22"/>
                <w:szCs w:val="22"/>
                <w:lang w:val="en-NZ" w:eastAsia="en-NZ"/>
              </w:rPr>
              <w:lastRenderedPageBreak/>
              <w:t>standards and specifications for the recycling of retired wind power and photovoltaic equipment. By 2030, a mature full-process recycling technology system for wind power and photovoltaic equipment will be formed, the resource recycling capacity will be effectively matched with the scale of retirement, the level of resource recycling in the wind power and photovoltaic industries will be improved, and several industrial clusters for the recycling of retired wind power and photovoltaic equipment will be formed.</w:t>
            </w:r>
          </w:p>
        </w:tc>
      </w:tr>
    </w:tbl>
    <w:p w14:paraId="3453B1A6" w14:textId="77777777" w:rsidR="004902AC" w:rsidRDefault="004902AC">
      <w:pPr>
        <w:tabs>
          <w:tab w:val="left" w:pos="8931"/>
        </w:tabs>
      </w:pPr>
    </w:p>
    <w:p w14:paraId="09D309C5" w14:textId="77777777" w:rsidR="004902AC" w:rsidRDefault="004902AC"/>
    <w:sectPr w:rsidR="004902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3172"/>
    <w:multiLevelType w:val="multilevel"/>
    <w:tmpl w:val="22CC31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4594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10BDD"/>
    <w:rsid w:val="000454E9"/>
    <w:rsid w:val="00105E39"/>
    <w:rsid w:val="00132AE5"/>
    <w:rsid w:val="00155315"/>
    <w:rsid w:val="00247C60"/>
    <w:rsid w:val="00256963"/>
    <w:rsid w:val="002E3AA3"/>
    <w:rsid w:val="00317356"/>
    <w:rsid w:val="0034503D"/>
    <w:rsid w:val="00354C31"/>
    <w:rsid w:val="0037518F"/>
    <w:rsid w:val="00375B20"/>
    <w:rsid w:val="00386D01"/>
    <w:rsid w:val="004049E7"/>
    <w:rsid w:val="00462B90"/>
    <w:rsid w:val="004828A0"/>
    <w:rsid w:val="004902AC"/>
    <w:rsid w:val="004B69C7"/>
    <w:rsid w:val="004D193B"/>
    <w:rsid w:val="004F4CE8"/>
    <w:rsid w:val="004F5C81"/>
    <w:rsid w:val="0053222C"/>
    <w:rsid w:val="005469BD"/>
    <w:rsid w:val="00550B17"/>
    <w:rsid w:val="005854B8"/>
    <w:rsid w:val="0065012F"/>
    <w:rsid w:val="00674B67"/>
    <w:rsid w:val="0068043B"/>
    <w:rsid w:val="00681CA7"/>
    <w:rsid w:val="008038E0"/>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323C9"/>
    <w:rsid w:val="00E612FF"/>
    <w:rsid w:val="00EB1B31"/>
    <w:rsid w:val="00F818D6"/>
    <w:rsid w:val="00F81BBF"/>
    <w:rsid w:val="00FA372B"/>
    <w:rsid w:val="14EB5C6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8747"/>
  <w15:docId w15:val="{45BF62ED-BFBB-4823-9CDF-92C5BF0F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uiPriority w:val="99"/>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4"/>
      <w:szCs w:val="24"/>
      <w:lang w:val="en-CA" w:eastAsia="zh-TW"/>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C4BD6-52B3-4A66-BA37-4F76C747B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E6CC85-CFD0-4BCF-91F2-0190070A1FC3}">
  <ds:schemaRefs/>
</ds:datastoreItem>
</file>

<file path=customXml/itemProps4.xml><?xml version="1.0" encoding="utf-8"?>
<ds:datastoreItem xmlns:ds="http://schemas.openxmlformats.org/officeDocument/2006/customXml" ds:itemID="{C375252D-E591-453A-8164-E6940B4D4083}">
  <ds:schemaRefs>
    <ds:schemaRef ds:uri="cab52c9b-ab33-4221-8af9-54f8f2b86a80"/>
    <ds:schemaRef ds:uri="6911e96c-4cc4-42d5-8e43-f93924cf6a05"/>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9c8a2b7b-0bee-4c48-b0a6-23db8982d3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Syuan Huang, Dr</dc:creator>
  <cp:lastModifiedBy>Bethany Yee</cp:lastModifiedBy>
  <cp:revision>4</cp:revision>
  <dcterms:created xsi:type="dcterms:W3CDTF">2025-03-05T22:06:00Z</dcterms:created>
  <dcterms:modified xsi:type="dcterms:W3CDTF">2025-08-11T20:41:00Z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ProductBuildVer">
    <vt:lpwstr>2052-10.8.2.6726</vt:lpwstr>
  </property>
</Properties>
</file>